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青岛农村商业银行股份有限公司</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lang w:val="en-US" w:eastAsia="zh-CN"/>
        </w:rPr>
        <w:t>上半年</w:t>
      </w:r>
      <w:r>
        <w:rPr>
          <w:rFonts w:hint="eastAsia" w:ascii="方正小标宋简体" w:hAnsi="方正小标宋简体" w:eastAsia="方正小标宋简体" w:cs="方正小标宋简体"/>
          <w:sz w:val="44"/>
          <w:szCs w:val="44"/>
          <w:lang w:eastAsia="zh-CN"/>
        </w:rPr>
        <w:t>度第三支柱信息披露报告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pStyle w:val="2"/>
        <w:spacing w:before="0" w:beforeLines="0" w:after="0" w:afterLines="0"/>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一、引言</w:t>
      </w:r>
    </w:p>
    <w:p>
      <w:pPr>
        <w:pStyle w:val="2"/>
        <w:spacing w:beforeLines="0" w:afterLine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（一）披露依据</w:t>
      </w:r>
    </w:p>
    <w:p>
      <w:pPr>
        <w:pStyle w:val="2"/>
        <w:spacing w:beforeLines="0" w:afterLines="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本报告根据国家金融监督管理总局</w:t>
      </w:r>
      <w:r>
        <w:rPr>
          <w:rFonts w:hint="eastAsia" w:ascii="仿宋_GB2312" w:hAnsi="仿宋_GB2312" w:eastAsia="仿宋_GB2312"/>
          <w:sz w:val="32"/>
          <w:szCs w:val="32"/>
          <w:lang w:val="en-US" w:eastAsia="zh-CN"/>
        </w:rPr>
        <w:t>2023</w:t>
      </w:r>
      <w:r>
        <w:rPr>
          <w:rFonts w:hint="eastAsia" w:ascii="仿宋_GB2312" w:hAnsi="仿宋_GB2312" w:eastAsia="仿宋_GB2312"/>
          <w:sz w:val="32"/>
          <w:szCs w:val="32"/>
          <w:lang w:eastAsia="zh-CN"/>
        </w:rPr>
        <w:t>年</w:t>
      </w:r>
      <w:r>
        <w:rPr>
          <w:rFonts w:hint="eastAsia" w:ascii="仿宋_GB2312" w:hAnsi="仿宋_GB2312" w:eastAsia="仿宋_GB2312"/>
          <w:sz w:val="32"/>
          <w:szCs w:val="32"/>
          <w:lang w:val="en-US" w:eastAsia="zh-CN"/>
        </w:rPr>
        <w:t>11</w:t>
      </w:r>
      <w:r>
        <w:rPr>
          <w:rFonts w:hint="eastAsia" w:ascii="仿宋_GB2312" w:hAnsi="仿宋_GB2312" w:eastAsia="仿宋_GB2312"/>
          <w:sz w:val="32"/>
          <w:szCs w:val="32"/>
          <w:lang w:eastAsia="zh-CN"/>
        </w:rPr>
        <w:t>月发布的《商业银行资本管理办法》（以下简称《资本管理办法》）相关规定编制并披露。</w:t>
      </w:r>
    </w:p>
    <w:p>
      <w:pPr>
        <w:pStyle w:val="2"/>
        <w:spacing w:beforeLines="0" w:afterLine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（二）披露治理架构及内控流程</w:t>
      </w:r>
    </w:p>
    <w:p>
      <w:pPr>
        <w:pStyle w:val="2"/>
        <w:spacing w:beforeLines="0" w:afterLines="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本行建立并持续完善第三支柱信息披露体系，形成了组织架构健全、职责边界清晰的第三支柱信息披露治理架构，明确了董事会、监事会、高级管理层、总行各部门和附属机构在第三支柱信息披露中的职责分工，建立了由董事会批准并由高级管理层实施有效的内部控制流程，明确了第三支柱信息披露报告的编制、审议和发布流程，对信息披露内容进行合理审查，确保第三支柱披露信息真实、可靠。</w:t>
      </w:r>
    </w:p>
    <w:p>
      <w:pPr>
        <w:pStyle w:val="2"/>
        <w:spacing w:before="0" w:beforeLines="0" w:after="0" w:afterLines="0"/>
        <w:ind w:firstLine="640"/>
        <w:rPr>
          <w:rFonts w:hint="eastAsia" w:ascii="黑体" w:hAnsi="黑体" w:eastAsia="黑体" w:cs="黑体"/>
          <w:sz w:val="32"/>
          <w:szCs w:val="32"/>
          <w:lang w:eastAsia="zh-CN"/>
        </w:rPr>
      </w:pPr>
      <w:r>
        <w:rPr>
          <w:rFonts w:hint="eastAsia" w:ascii="黑体" w:hAnsi="黑体" w:eastAsia="黑体" w:cs="黑体"/>
          <w:sz w:val="32"/>
          <w:szCs w:val="32"/>
          <w:lang w:eastAsia="zh-CN"/>
        </w:rPr>
        <w:t>二、风险管理、关键审慎监管指标和风险加权资产概览</w:t>
      </w:r>
    </w:p>
    <w:p>
      <w:pPr>
        <w:pStyle w:val="2"/>
        <w:spacing w:beforeLines="0" w:afterLine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（一）监管并表关键审慎监管指标</w:t>
      </w:r>
    </w:p>
    <w:p>
      <w:pPr>
        <w:pStyle w:val="2"/>
        <w:spacing w:beforeLines="0" w:afterLines="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截至</w:t>
      </w:r>
      <w:r>
        <w:rPr>
          <w:rFonts w:hint="eastAsia" w:ascii="仿宋_GB2312" w:hAnsi="仿宋_GB2312" w:eastAsia="仿宋_GB2312"/>
          <w:sz w:val="32"/>
          <w:szCs w:val="32"/>
          <w:lang w:val="en-US" w:eastAsia="zh-CN"/>
        </w:rPr>
        <w:t>2025年6月末</w:t>
      </w:r>
      <w:r>
        <w:rPr>
          <w:rFonts w:hint="eastAsia" w:ascii="仿宋_GB2312" w:hAnsi="仿宋_GB2312" w:eastAsia="仿宋_GB2312"/>
          <w:sz w:val="32"/>
          <w:szCs w:val="32"/>
          <w:lang w:eastAsia="zh-CN"/>
        </w:rPr>
        <w:t>，本行核心一级资本充足率为</w:t>
      </w:r>
      <w:r>
        <w:rPr>
          <w:rFonts w:hint="eastAsia" w:ascii="仿宋_GB2312" w:hAnsi="仿宋_GB2312" w:eastAsia="仿宋_GB2312"/>
          <w:sz w:val="32"/>
          <w:szCs w:val="32"/>
          <w:lang w:val="en-US" w:eastAsia="zh-CN"/>
        </w:rPr>
        <w:t>10.58</w:t>
      </w:r>
      <w:r>
        <w:rPr>
          <w:rFonts w:hint="eastAsia" w:ascii="仿宋_GB2312" w:hAnsi="仿宋_GB2312" w:eastAsia="仿宋_GB2312"/>
          <w:sz w:val="32"/>
          <w:szCs w:val="32"/>
          <w:lang w:eastAsia="zh-CN"/>
        </w:rPr>
        <w:t>%，一级资本充足率为</w:t>
      </w:r>
      <w:r>
        <w:rPr>
          <w:rFonts w:hint="eastAsia" w:ascii="仿宋_GB2312" w:hAnsi="仿宋_GB2312" w:eastAsia="仿宋_GB2312"/>
          <w:sz w:val="32"/>
          <w:szCs w:val="32"/>
          <w:lang w:val="en-US" w:eastAsia="zh-CN"/>
        </w:rPr>
        <w:t>12.09</w:t>
      </w:r>
      <w:r>
        <w:rPr>
          <w:rFonts w:hint="eastAsia" w:ascii="仿宋_GB2312" w:hAnsi="仿宋_GB2312" w:eastAsia="仿宋_GB2312"/>
          <w:sz w:val="32"/>
          <w:szCs w:val="32"/>
          <w:lang w:eastAsia="zh-CN"/>
        </w:rPr>
        <w:t>%，资本充足率为</w:t>
      </w:r>
      <w:r>
        <w:rPr>
          <w:rFonts w:hint="eastAsia" w:ascii="仿宋_GB2312" w:hAnsi="仿宋_GB2312" w:eastAsia="仿宋_GB2312"/>
          <w:sz w:val="32"/>
          <w:szCs w:val="32"/>
          <w:lang w:val="en-US" w:eastAsia="zh-CN"/>
        </w:rPr>
        <w:t>13.78</w:t>
      </w:r>
      <w:r>
        <w:rPr>
          <w:rFonts w:hint="eastAsia" w:ascii="仿宋_GB2312" w:hAnsi="仿宋_GB2312" w:eastAsia="仿宋_GB2312"/>
          <w:sz w:val="32"/>
          <w:szCs w:val="32"/>
          <w:lang w:eastAsia="zh-CN"/>
        </w:rPr>
        <w:t>%，杠杆率为</w:t>
      </w:r>
      <w:r>
        <w:rPr>
          <w:rFonts w:hint="eastAsia" w:ascii="仿宋_GB2312" w:hAnsi="仿宋_GB2312" w:eastAsia="仿宋_GB2312"/>
          <w:sz w:val="32"/>
          <w:szCs w:val="32"/>
          <w:lang w:val="en-US" w:eastAsia="zh-CN"/>
        </w:rPr>
        <w:t>7.27</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流动性覆盖率为</w:t>
      </w:r>
      <w:r>
        <w:rPr>
          <w:rFonts w:hint="eastAsia" w:ascii="仿宋_GB2312" w:hAnsi="仿宋_GB2312" w:eastAsia="仿宋_GB2312"/>
          <w:sz w:val="32"/>
          <w:szCs w:val="32"/>
          <w:lang w:val="en-US" w:eastAsia="zh-CN"/>
        </w:rPr>
        <w:t>348.90</w:t>
      </w:r>
      <w:r>
        <w:rPr>
          <w:rFonts w:hint="eastAsia" w:ascii="仿宋_GB2312" w:hAnsi="仿宋_GB2312" w:eastAsia="仿宋_GB2312"/>
          <w:sz w:val="32"/>
          <w:szCs w:val="32"/>
        </w:rPr>
        <w:t>%，净稳定资金比例为</w:t>
      </w:r>
      <w:r>
        <w:rPr>
          <w:rFonts w:hint="eastAsia" w:ascii="仿宋_GB2312" w:hAnsi="仿宋_GB2312" w:eastAsia="仿宋_GB2312"/>
          <w:sz w:val="32"/>
          <w:szCs w:val="32"/>
          <w:lang w:val="en-US" w:eastAsia="zh-CN"/>
        </w:rPr>
        <w:t>142.89</w:t>
      </w:r>
      <w:r>
        <w:rPr>
          <w:rFonts w:hint="eastAsia" w:ascii="仿宋_GB2312" w:hAnsi="仿宋_GB2312" w:eastAsia="仿宋_GB2312"/>
          <w:sz w:val="32"/>
          <w:szCs w:val="32"/>
        </w:rPr>
        <w:t>%，流动性比例为</w:t>
      </w:r>
      <w:r>
        <w:rPr>
          <w:rFonts w:hint="eastAsia" w:ascii="仿宋_GB2312" w:hAnsi="仿宋_GB2312" w:eastAsia="仿宋_GB2312"/>
          <w:sz w:val="32"/>
          <w:szCs w:val="32"/>
          <w:lang w:val="en-US" w:eastAsia="zh-CN"/>
        </w:rPr>
        <w:t>95.27</w:t>
      </w:r>
      <w:r>
        <w:rPr>
          <w:rFonts w:hint="eastAsia" w:ascii="仿宋_GB2312" w:hAnsi="仿宋_GB2312" w:eastAsia="仿宋_GB2312"/>
          <w:sz w:val="32"/>
          <w:szCs w:val="32"/>
        </w:rPr>
        <w:t>%，各项指标均符合监管要求。具体情况如下表所示</w:t>
      </w:r>
      <w:r>
        <w:rPr>
          <w:rFonts w:hint="eastAsia" w:ascii="仿宋_GB2312" w:hAnsi="仿宋_GB2312" w:eastAsia="仿宋_GB2312"/>
          <w:sz w:val="32"/>
          <w:szCs w:val="32"/>
          <w:lang w:eastAsia="zh-CN"/>
        </w:rPr>
        <w:t>：</w:t>
      </w:r>
    </w:p>
    <w:p>
      <w:pPr>
        <w:pStyle w:val="2"/>
        <w:ind w:firstLine="0" w:firstLineChars="0"/>
        <w:jc w:val="center"/>
        <w:rPr>
          <w:rFonts w:hint="eastAsia" w:ascii="仿宋_GB2312" w:hAnsi="仿宋_GB2312" w:eastAsia="仿宋_GB2312"/>
          <w:sz w:val="30"/>
          <w:szCs w:val="30"/>
          <w:lang w:eastAsia="zh-CN"/>
        </w:rPr>
      </w:pPr>
      <w:r>
        <w:rPr>
          <w:rFonts w:hint="eastAsia" w:ascii="仿宋_GB2312" w:hAnsi="仿宋_GB2312" w:eastAsia="仿宋_GB2312"/>
          <w:sz w:val="30"/>
          <w:szCs w:val="30"/>
          <w:lang w:eastAsia="zh-CN"/>
        </w:rPr>
        <w:t>表1</w:t>
      </w:r>
      <w:r>
        <w:rPr>
          <w:rFonts w:hint="eastAsia" w:ascii="仿宋_GB2312" w:hAnsi="仿宋_GB2312" w:eastAsia="仿宋_GB2312"/>
          <w:sz w:val="30"/>
          <w:szCs w:val="30"/>
          <w:lang w:val="en-US" w:eastAsia="zh-CN"/>
        </w:rPr>
        <w:t xml:space="preserve"> </w:t>
      </w:r>
      <w:r>
        <w:rPr>
          <w:rFonts w:hint="eastAsia" w:ascii="仿宋_GB2312" w:hAnsi="仿宋_GB2312" w:eastAsia="仿宋_GB2312"/>
          <w:sz w:val="30"/>
          <w:szCs w:val="30"/>
          <w:lang w:eastAsia="zh-CN"/>
        </w:rPr>
        <w:t>KM1-监管并表关键审慎监管指标</w:t>
      </w:r>
    </w:p>
    <w:p>
      <w:pPr>
        <w:pStyle w:val="2"/>
        <w:ind w:firstLine="4620" w:firstLineChars="2100"/>
        <w:rPr>
          <w:rFonts w:hint="eastAsia" w:ascii="仿宋_GB2312" w:hAnsi="仿宋_GB2312" w:eastAsia="仿宋_GB2312"/>
          <w:sz w:val="22"/>
          <w:szCs w:val="22"/>
          <w:lang w:eastAsia="zh-CN"/>
        </w:rPr>
      </w:pPr>
      <w:r>
        <w:rPr>
          <w:rFonts w:hint="eastAsia" w:ascii="仿宋_GB2312" w:hAnsi="仿宋_GB2312" w:eastAsia="仿宋_GB2312"/>
          <w:sz w:val="22"/>
          <w:szCs w:val="22"/>
          <w:lang w:eastAsia="zh-CN"/>
        </w:rPr>
        <w:t>单位：人民币千元（百分比除外）</w:t>
      </w:r>
    </w:p>
    <w:tbl>
      <w:tblPr>
        <w:tblStyle w:val="8"/>
        <w:tblW w:w="9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8"/>
        <w:gridCol w:w="2048"/>
        <w:gridCol w:w="1329"/>
        <w:gridCol w:w="1329"/>
        <w:gridCol w:w="1329"/>
        <w:gridCol w:w="1329"/>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华文细黑" w:hAnsi="华文细黑" w:eastAsia="华文细黑" w:cs="华文细黑"/>
                <w:i w:val="0"/>
                <w:color w:val="000000"/>
                <w:sz w:val="18"/>
                <w:szCs w:val="18"/>
                <w:u w:val="none"/>
              </w:rPr>
            </w:pPr>
            <w:r>
              <w:rPr>
                <w:rFonts w:hint="default" w:ascii="华文细黑" w:hAnsi="华文细黑" w:eastAsia="华文细黑" w:cs="华文细黑"/>
                <w:i w:val="0"/>
                <w:color w:val="000000"/>
                <w:kern w:val="0"/>
                <w:sz w:val="18"/>
                <w:szCs w:val="18"/>
                <w:u w:val="none"/>
                <w:lang w:val="en-US" w:eastAsia="zh-CN" w:bidi="ar"/>
              </w:rPr>
              <w:t>监管并表关键审慎监管指标</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T-1</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i w:val="0"/>
                <w:color w:val="000000"/>
                <w:sz w:val="18"/>
                <w:szCs w:val="18"/>
                <w:u w:val="none"/>
              </w:rPr>
            </w:pPr>
          </w:p>
        </w:tc>
        <w:tc>
          <w:tcPr>
            <w:tcW w:w="13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2025年6月30日</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2025年3月31日</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2024年12月31日</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2024年9月30日</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222"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default" w:ascii="华文细黑" w:hAnsi="华文细黑" w:eastAsia="华文细黑" w:cs="华文细黑"/>
                <w:b/>
                <w:i w:val="0"/>
                <w:color w:val="000000"/>
                <w:sz w:val="18"/>
                <w:szCs w:val="18"/>
                <w:u w:val="none"/>
              </w:rPr>
            </w:pPr>
            <w:r>
              <w:rPr>
                <w:rFonts w:hint="eastAsia" w:ascii="华文细黑" w:hAnsi="华文细黑" w:eastAsia="华文细黑" w:cs="华文细黑"/>
                <w:b/>
                <w:bCs/>
                <w:i w:val="0"/>
                <w:iCs w:val="0"/>
                <w:color w:val="000000"/>
                <w:kern w:val="0"/>
                <w:sz w:val="18"/>
                <w:szCs w:val="18"/>
                <w:u w:val="none"/>
                <w:lang w:val="en-US" w:eastAsia="zh-CN" w:bidi="ar"/>
              </w:rPr>
              <w:t>可用资本（数额）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核心一级资本净额</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34,969,358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34,221,456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34,269,354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34,418,323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33,513,602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一级资本净额</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39,968,675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39,227,698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39,289,612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39,458,365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38,555,115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3</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资本净额</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45,556,181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44,829,613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44,735,496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44,996,879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44,123,607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222"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default" w:ascii="华文细黑" w:hAnsi="华文细黑" w:eastAsia="华文细黑" w:cs="华文细黑"/>
                <w:b/>
                <w:i w:val="0"/>
                <w:color w:val="000000"/>
                <w:sz w:val="18"/>
                <w:szCs w:val="18"/>
                <w:u w:val="none"/>
              </w:rPr>
            </w:pPr>
            <w:r>
              <w:rPr>
                <w:rFonts w:hint="eastAsia" w:ascii="华文细黑" w:hAnsi="华文细黑" w:eastAsia="华文细黑" w:cs="华文细黑"/>
                <w:b/>
                <w:bCs/>
                <w:i w:val="0"/>
                <w:iCs w:val="0"/>
                <w:color w:val="000000"/>
                <w:kern w:val="0"/>
                <w:sz w:val="18"/>
                <w:szCs w:val="18"/>
                <w:u w:val="none"/>
                <w:lang w:val="en-US" w:eastAsia="zh-CN" w:bidi="ar"/>
              </w:rPr>
              <w:t>风险加权资产（数额）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4</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风险加权资产</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iCs w:val="0"/>
                <w:color w:val="000000"/>
                <w:kern w:val="2"/>
                <w:sz w:val="18"/>
                <w:szCs w:val="18"/>
                <w:u w:val="none"/>
                <w:lang w:val="en-US" w:eastAsia="zh-CN" w:bidi="ar-SA"/>
              </w:rPr>
            </w:pPr>
            <w:r>
              <w:rPr>
                <w:rFonts w:hint="eastAsia" w:ascii="华文细黑" w:hAnsi="华文细黑" w:eastAsia="华文细黑" w:cs="华文细黑"/>
                <w:i w:val="0"/>
                <w:iCs w:val="0"/>
                <w:color w:val="000000"/>
                <w:kern w:val="0"/>
                <w:sz w:val="18"/>
                <w:szCs w:val="18"/>
                <w:u w:val="none"/>
                <w:lang w:val="en-US" w:eastAsia="zh-CN" w:bidi="ar"/>
              </w:rPr>
              <w:t xml:space="preserve">330,657,445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333,317,560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320,364,879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322,309,094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322,586,907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222"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default" w:ascii="华文细黑" w:hAnsi="华文细黑" w:eastAsia="华文细黑" w:cs="华文细黑"/>
                <w:b/>
                <w:i w:val="0"/>
                <w:color w:val="000000"/>
                <w:sz w:val="18"/>
                <w:szCs w:val="18"/>
                <w:u w:val="none"/>
              </w:rPr>
            </w:pPr>
            <w:r>
              <w:rPr>
                <w:rFonts w:hint="eastAsia" w:ascii="华文细黑" w:hAnsi="华文细黑" w:eastAsia="华文细黑" w:cs="华文细黑"/>
                <w:b/>
                <w:bCs/>
                <w:i w:val="0"/>
                <w:iCs w:val="0"/>
                <w:color w:val="000000"/>
                <w:kern w:val="0"/>
                <w:sz w:val="18"/>
                <w:szCs w:val="18"/>
                <w:u w:val="none"/>
                <w:lang w:val="en-US" w:eastAsia="zh-CN" w:bidi="ar"/>
              </w:rPr>
              <w:t>资本充足率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5</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核心一级资本充足率（%）</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lang w:val="en-US"/>
              </w:rPr>
            </w:pPr>
            <w:r>
              <w:rPr>
                <w:rFonts w:hint="eastAsia" w:ascii="华文细黑" w:hAnsi="华文细黑" w:eastAsia="华文细黑" w:cs="华文细黑"/>
                <w:i w:val="0"/>
                <w:iCs w:val="0"/>
                <w:color w:val="000000"/>
                <w:kern w:val="0"/>
                <w:sz w:val="18"/>
                <w:szCs w:val="18"/>
                <w:u w:val="none"/>
                <w:lang w:val="en-US" w:eastAsia="zh-CN" w:bidi="ar"/>
              </w:rPr>
              <w:t>10.58</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10.27</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10.70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10.68</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6</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一级资本充足率（%）</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lang w:val="en-US"/>
              </w:rPr>
            </w:pPr>
            <w:r>
              <w:rPr>
                <w:rFonts w:hint="eastAsia" w:ascii="华文细黑" w:hAnsi="华文细黑" w:eastAsia="华文细黑" w:cs="华文细黑"/>
                <w:i w:val="0"/>
                <w:iCs w:val="0"/>
                <w:color w:val="000000"/>
                <w:kern w:val="0"/>
                <w:sz w:val="18"/>
                <w:szCs w:val="18"/>
                <w:u w:val="none"/>
                <w:lang w:val="en-US" w:eastAsia="zh-CN" w:bidi="ar"/>
              </w:rPr>
              <w:t>12.09</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11.77</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12.26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12.24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7</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资本充足率（%）</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lang w:val="en-US"/>
              </w:rPr>
            </w:pPr>
            <w:r>
              <w:rPr>
                <w:rFonts w:hint="eastAsia" w:ascii="华文细黑" w:hAnsi="华文细黑" w:eastAsia="华文细黑" w:cs="华文细黑"/>
                <w:i w:val="0"/>
                <w:iCs w:val="0"/>
                <w:color w:val="000000"/>
                <w:kern w:val="0"/>
                <w:sz w:val="18"/>
                <w:szCs w:val="18"/>
                <w:u w:val="none"/>
                <w:lang w:val="en-US" w:eastAsia="zh-CN" w:bidi="ar"/>
              </w:rPr>
              <w:t>13.78</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13.45</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13.96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13.96</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222"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default" w:ascii="华文细黑" w:hAnsi="华文细黑" w:eastAsia="华文细黑" w:cs="华文细黑"/>
                <w:b/>
                <w:i w:val="0"/>
                <w:color w:val="000000"/>
                <w:sz w:val="18"/>
                <w:szCs w:val="18"/>
                <w:u w:val="none"/>
              </w:rPr>
            </w:pPr>
            <w:r>
              <w:rPr>
                <w:rFonts w:hint="eastAsia" w:ascii="华文细黑" w:hAnsi="华文细黑" w:eastAsia="华文细黑" w:cs="华文细黑"/>
                <w:b/>
                <w:bCs/>
                <w:i w:val="0"/>
                <w:iCs w:val="0"/>
                <w:color w:val="000000"/>
                <w:kern w:val="0"/>
                <w:sz w:val="18"/>
                <w:szCs w:val="18"/>
                <w:u w:val="none"/>
                <w:lang w:val="en-US" w:eastAsia="zh-CN" w:bidi="ar"/>
              </w:rPr>
              <w:t>其他各级资本要求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8</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储备资本要求（%）</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2.5</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2.5</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2.5</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9</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逆周期资本要求（%）</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10</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全球系统重要性银行或国内系统重要性银行附加资本要求（%）</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不适用</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不适用</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不适用</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不适用</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11</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其他各级资本要求（%）（8+9+10）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2.5</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2.5</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2.5</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12</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满足最低资本要求后的可用核心一级资本净额占风险加权资产的比例（%）</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lang w:val="en-US"/>
              </w:rPr>
            </w:pPr>
            <w:r>
              <w:rPr>
                <w:rFonts w:hint="eastAsia" w:ascii="华文细黑" w:hAnsi="华文细黑" w:eastAsia="华文细黑" w:cs="华文细黑"/>
                <w:i w:val="0"/>
                <w:iCs w:val="0"/>
                <w:color w:val="000000"/>
                <w:kern w:val="0"/>
                <w:sz w:val="18"/>
                <w:szCs w:val="18"/>
                <w:u w:val="none"/>
                <w:lang w:val="en-US" w:eastAsia="zh-CN" w:bidi="ar"/>
              </w:rPr>
              <w:t>5.58</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5.27</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5.7</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5.68</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222"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default" w:ascii="华文细黑" w:hAnsi="华文细黑" w:eastAsia="华文细黑" w:cs="华文细黑"/>
                <w:b/>
                <w:i w:val="0"/>
                <w:color w:val="000000"/>
                <w:sz w:val="18"/>
                <w:szCs w:val="18"/>
                <w:u w:val="none"/>
              </w:rPr>
            </w:pPr>
            <w:r>
              <w:rPr>
                <w:rFonts w:hint="eastAsia" w:ascii="华文细黑" w:hAnsi="华文细黑" w:eastAsia="华文细黑" w:cs="华文细黑"/>
                <w:b/>
                <w:bCs/>
                <w:i w:val="0"/>
                <w:iCs w:val="0"/>
                <w:color w:val="000000"/>
                <w:kern w:val="0"/>
                <w:sz w:val="18"/>
                <w:szCs w:val="18"/>
                <w:u w:val="none"/>
                <w:lang w:val="en-US" w:eastAsia="zh-CN" w:bidi="ar"/>
              </w:rPr>
              <w:t>杠杆率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13</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调整后表内外资产余额</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549,836,198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569,145,896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524,556,283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502,718,994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500,083,690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14</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杠杆率（%）</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7.27</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6.89</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7.49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7.85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7.71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14a</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杠杆率a（%）</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7.27</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6.89</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7.49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7.85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7.71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222"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default" w:ascii="华文细黑" w:hAnsi="华文细黑" w:eastAsia="华文细黑" w:cs="华文细黑"/>
                <w:b/>
                <w:i w:val="0"/>
                <w:color w:val="000000"/>
                <w:sz w:val="18"/>
                <w:szCs w:val="18"/>
                <w:u w:val="none"/>
              </w:rPr>
            </w:pPr>
            <w:r>
              <w:rPr>
                <w:rFonts w:hint="eastAsia" w:ascii="华文细黑" w:hAnsi="华文细黑" w:eastAsia="华文细黑" w:cs="华文细黑"/>
                <w:b/>
                <w:bCs/>
                <w:i w:val="0"/>
                <w:iCs w:val="0"/>
                <w:color w:val="000000"/>
                <w:kern w:val="0"/>
                <w:sz w:val="18"/>
                <w:szCs w:val="18"/>
                <w:u w:val="none"/>
                <w:lang w:val="en-US" w:eastAsia="zh-CN" w:bidi="ar"/>
              </w:rPr>
              <w:t>流动性覆盖率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15</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合格优质流动性资产</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58,052,265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61,073,724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53,429,257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58,704,959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46,403,602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16</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现金净流出量</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16,638,469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23,438,374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14,531,526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19,117,796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15,877,508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17</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流动性覆盖率（%）</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348.90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260.57</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367.68</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307.07</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292.26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222"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default" w:ascii="华文细黑" w:hAnsi="华文细黑" w:eastAsia="华文细黑" w:cs="华文细黑"/>
                <w:b/>
                <w:i w:val="0"/>
                <w:color w:val="000000"/>
                <w:sz w:val="18"/>
                <w:szCs w:val="18"/>
                <w:u w:val="none"/>
              </w:rPr>
            </w:pPr>
            <w:r>
              <w:rPr>
                <w:rFonts w:hint="eastAsia" w:ascii="华文细黑" w:hAnsi="华文细黑" w:eastAsia="华文细黑" w:cs="华文细黑"/>
                <w:b/>
                <w:bCs/>
                <w:i w:val="0"/>
                <w:iCs w:val="0"/>
                <w:color w:val="000000"/>
                <w:kern w:val="0"/>
                <w:sz w:val="18"/>
                <w:szCs w:val="18"/>
                <w:u w:val="none"/>
                <w:lang w:val="en-US" w:eastAsia="zh-CN" w:bidi="ar"/>
              </w:rPr>
              <w:t>净稳定资金比例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18</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可用稳定资金合计</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349,135,180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348,270,371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338,864,419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333,766,863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327,527,835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19</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所需稳定资金合计</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244,332,993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245,651,272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238,928,331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237,059,559 </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236,531,468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20</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净稳定资金比例（%）</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142.89</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141.77</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141.83</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140.79</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138.47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22"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default" w:ascii="华文细黑" w:hAnsi="华文细黑" w:eastAsia="华文细黑" w:cs="华文细黑"/>
                <w:b/>
                <w:i w:val="0"/>
                <w:color w:val="000000"/>
                <w:sz w:val="18"/>
                <w:szCs w:val="18"/>
                <w:u w:val="none"/>
              </w:rPr>
            </w:pPr>
            <w:r>
              <w:rPr>
                <w:rFonts w:hint="eastAsia" w:ascii="华文细黑" w:hAnsi="华文细黑" w:eastAsia="华文细黑" w:cs="华文细黑"/>
                <w:b/>
                <w:bCs/>
                <w:i w:val="0"/>
                <w:iCs w:val="0"/>
                <w:color w:val="000000"/>
                <w:kern w:val="0"/>
                <w:sz w:val="18"/>
                <w:szCs w:val="18"/>
                <w:u w:val="none"/>
                <w:lang w:val="en-US" w:eastAsia="zh-CN" w:bidi="ar"/>
              </w:rPr>
              <w:t>流动性比例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21</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流动性比例（%）</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lang w:val="en-US"/>
              </w:rPr>
            </w:pPr>
            <w:r>
              <w:rPr>
                <w:rFonts w:hint="eastAsia" w:ascii="华文细黑" w:hAnsi="华文细黑" w:eastAsia="华文细黑" w:cs="华文细黑"/>
                <w:i w:val="0"/>
                <w:iCs w:val="0"/>
                <w:color w:val="000000"/>
                <w:kern w:val="0"/>
                <w:sz w:val="18"/>
                <w:szCs w:val="18"/>
                <w:u w:val="none"/>
                <w:lang w:val="en-US" w:eastAsia="zh-CN" w:bidi="ar"/>
              </w:rPr>
              <w:t>95.27</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80.78</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104.51</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96.73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94.05</w:t>
            </w:r>
          </w:p>
        </w:tc>
      </w:tr>
    </w:tbl>
    <w:p>
      <w:pPr>
        <w:pStyle w:val="2"/>
        <w:ind w:firstLine="0" w:firstLineChars="0"/>
        <w:rPr>
          <w:rFonts w:hint="eastAsia" w:ascii="仿宋_GB2312" w:hAnsi="仿宋_GB2312" w:eastAsia="仿宋_GB2312"/>
          <w:sz w:val="32"/>
          <w:szCs w:val="32"/>
          <w:lang w:eastAsia="zh-CN"/>
        </w:rPr>
      </w:pPr>
    </w:p>
    <w:p>
      <w:pPr>
        <w:pStyle w:val="2"/>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）风险加权资产概览</w:t>
      </w:r>
    </w:p>
    <w:p>
      <w:pPr>
        <w:pStyle w:val="2"/>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本行依据《资本管理办法》计量资本充足率。信用风险加权资产计量采用权重法，市场风险加权资产计量采用简化标准法，操作风险加权资产计量采用基本指标法。截至2025年6月末，各风险加权资产计量结果如下表所示：</w:t>
      </w:r>
    </w:p>
    <w:p>
      <w:pPr>
        <w:pStyle w:val="2"/>
        <w:ind w:firstLine="0" w:firstLineChars="0"/>
        <w:jc w:val="center"/>
        <w:rPr>
          <w:rFonts w:hint="eastAsia" w:ascii="仿宋_GB2312" w:hAnsi="仿宋_GB2312" w:eastAsia="仿宋_GB2312"/>
          <w:sz w:val="30"/>
          <w:szCs w:val="30"/>
          <w:lang w:eastAsia="zh-CN"/>
        </w:rPr>
      </w:pPr>
      <w:r>
        <w:rPr>
          <w:rFonts w:hint="eastAsia" w:ascii="仿宋_GB2312" w:hAnsi="仿宋_GB2312" w:eastAsia="仿宋_GB2312"/>
          <w:sz w:val="30"/>
          <w:szCs w:val="30"/>
          <w:lang w:eastAsia="zh-CN"/>
        </w:rPr>
        <w:t>表2</w:t>
      </w:r>
      <w:r>
        <w:rPr>
          <w:rFonts w:hint="eastAsia" w:ascii="仿宋_GB2312" w:hAnsi="仿宋_GB2312" w:eastAsia="仿宋_GB2312"/>
          <w:sz w:val="30"/>
          <w:szCs w:val="30"/>
          <w:lang w:val="en-US" w:eastAsia="zh-CN"/>
        </w:rPr>
        <w:t xml:space="preserve"> </w:t>
      </w:r>
      <w:r>
        <w:rPr>
          <w:rFonts w:hint="eastAsia" w:ascii="仿宋_GB2312" w:hAnsi="仿宋_GB2312" w:eastAsia="仿宋_GB2312"/>
          <w:sz w:val="30"/>
          <w:szCs w:val="30"/>
          <w:lang w:eastAsia="zh-CN"/>
        </w:rPr>
        <w:t>OV1-风险加权资产概览</w:t>
      </w:r>
    </w:p>
    <w:p>
      <w:pPr>
        <w:pStyle w:val="2"/>
        <w:ind w:firstLine="4620" w:firstLineChars="2100"/>
        <w:rPr>
          <w:rFonts w:hint="eastAsia" w:ascii="仿宋_GB2312" w:hAnsi="仿宋_GB2312" w:eastAsia="仿宋_GB2312"/>
          <w:sz w:val="22"/>
          <w:szCs w:val="22"/>
          <w:lang w:eastAsia="zh-CN"/>
        </w:rPr>
      </w:pPr>
      <w:r>
        <w:rPr>
          <w:rFonts w:hint="eastAsia" w:ascii="仿宋_GB2312" w:hAnsi="仿宋_GB2312" w:eastAsia="仿宋_GB2312"/>
          <w:sz w:val="22"/>
          <w:szCs w:val="22"/>
          <w:lang w:eastAsia="zh-CN"/>
        </w:rPr>
        <w:t>单位：人民币千元（百分比除外）</w:t>
      </w:r>
    </w:p>
    <w:tbl>
      <w:tblPr>
        <w:tblStyle w:val="8"/>
        <w:tblW w:w="7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2"/>
        <w:gridCol w:w="2209"/>
        <w:gridCol w:w="1614"/>
        <w:gridCol w:w="1665"/>
        <w:gridCol w:w="1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7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华文细黑" w:hAnsi="华文细黑" w:eastAsia="华文细黑" w:cs="华文细黑"/>
                <w:i w:val="0"/>
                <w:color w:val="000000"/>
                <w:sz w:val="18"/>
                <w:szCs w:val="18"/>
                <w:u w:val="none"/>
              </w:rPr>
            </w:pPr>
            <w:r>
              <w:rPr>
                <w:rFonts w:hint="default" w:ascii="华文细黑" w:hAnsi="华文细黑" w:eastAsia="华文细黑" w:cs="华文细黑"/>
                <w:i w:val="0"/>
                <w:color w:val="000000"/>
                <w:kern w:val="0"/>
                <w:sz w:val="18"/>
                <w:szCs w:val="18"/>
                <w:u w:val="none"/>
                <w:lang w:val="en-US" w:eastAsia="zh-CN" w:bidi="ar"/>
              </w:rPr>
              <w:t>风险加权资产概况</w:t>
            </w:r>
          </w:p>
        </w:tc>
        <w:tc>
          <w:tcPr>
            <w:tcW w:w="3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default" w:ascii="华文细黑" w:hAnsi="华文细黑" w:eastAsia="华文细黑" w:cs="华文细黑"/>
                <w:i w:val="0"/>
                <w:color w:val="000000"/>
                <w:kern w:val="0"/>
                <w:sz w:val="18"/>
                <w:szCs w:val="18"/>
                <w:u w:val="none"/>
                <w:lang w:val="en-US" w:eastAsia="zh-CN" w:bidi="ar"/>
              </w:rPr>
              <w:t>风险加权资产</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default" w:ascii="华文细黑" w:hAnsi="华文细黑" w:eastAsia="华文细黑" w:cs="华文细黑"/>
                <w:i w:val="0"/>
                <w:color w:val="000000"/>
                <w:kern w:val="0"/>
                <w:sz w:val="18"/>
                <w:szCs w:val="18"/>
                <w:u w:val="none"/>
                <w:lang w:val="en-US" w:eastAsia="zh-CN" w:bidi="ar"/>
              </w:rPr>
              <w:t>最低资本要求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7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i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T-1</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7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i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2025年6月30日</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2025年3月31日</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2025年6月30日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default" w:ascii="华文细黑" w:hAnsi="华文细黑" w:eastAsia="华文细黑" w:cs="华文细黑"/>
                <w:i w:val="0"/>
                <w:color w:val="000000"/>
                <w:kern w:val="0"/>
                <w:sz w:val="18"/>
                <w:szCs w:val="18"/>
                <w:u w:val="none"/>
                <w:lang w:val="en-US" w:eastAsia="zh-CN" w:bidi="ar"/>
              </w:rPr>
              <w:t>1</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default" w:ascii="华文细黑" w:hAnsi="华文细黑" w:eastAsia="华文细黑" w:cs="华文细黑"/>
                <w:i w:val="0"/>
                <w:color w:val="000000"/>
                <w:kern w:val="0"/>
                <w:sz w:val="18"/>
                <w:szCs w:val="18"/>
                <w:u w:val="none"/>
                <w:lang w:val="en-US" w:eastAsia="zh-CN" w:bidi="ar"/>
              </w:rPr>
              <w:t>信用风险</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302,152,124 </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302,052,997 </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24,172,170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default" w:ascii="华文细黑" w:hAnsi="华文细黑" w:eastAsia="华文细黑" w:cs="华文细黑"/>
                <w:i w:val="0"/>
                <w:color w:val="000000"/>
                <w:kern w:val="0"/>
                <w:sz w:val="18"/>
                <w:szCs w:val="18"/>
                <w:u w:val="none"/>
                <w:lang w:val="en-US" w:eastAsia="zh-CN" w:bidi="ar"/>
              </w:rPr>
              <w:t>2</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default" w:ascii="华文细黑" w:hAnsi="华文细黑" w:eastAsia="华文细黑" w:cs="华文细黑"/>
                <w:i w:val="0"/>
                <w:color w:val="000000"/>
                <w:kern w:val="0"/>
                <w:sz w:val="18"/>
                <w:szCs w:val="18"/>
                <w:u w:val="none"/>
                <w:lang w:val="en-US" w:eastAsia="zh-CN" w:bidi="ar"/>
              </w:rPr>
              <w:t>市场风险</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8,583,971 </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11,127,934 </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686,718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default" w:ascii="华文细黑" w:hAnsi="华文细黑" w:eastAsia="华文细黑" w:cs="华文细黑"/>
                <w:i w:val="0"/>
                <w:color w:val="000000"/>
                <w:kern w:val="0"/>
                <w:sz w:val="18"/>
                <w:szCs w:val="18"/>
                <w:u w:val="none"/>
                <w:lang w:val="en-US" w:eastAsia="zh-CN" w:bidi="ar"/>
              </w:rPr>
              <w:t>3</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default" w:ascii="华文细黑" w:hAnsi="华文细黑" w:eastAsia="华文细黑" w:cs="华文细黑"/>
                <w:i w:val="0"/>
                <w:color w:val="000000"/>
                <w:kern w:val="0"/>
                <w:sz w:val="18"/>
                <w:szCs w:val="18"/>
                <w:u w:val="none"/>
                <w:lang w:val="en-US" w:eastAsia="zh-CN" w:bidi="ar"/>
              </w:rPr>
              <w:t>操作风险</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19,317,340 </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19,317,340 </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1,545,387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default" w:ascii="华文细黑" w:hAnsi="华文细黑" w:eastAsia="华文细黑" w:cs="华文细黑"/>
                <w:i w:val="0"/>
                <w:color w:val="000000"/>
                <w:kern w:val="0"/>
                <w:sz w:val="18"/>
                <w:szCs w:val="18"/>
                <w:u w:val="none"/>
                <w:lang w:val="en-US" w:eastAsia="zh-CN" w:bidi="ar"/>
              </w:rPr>
              <w:t>4</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default" w:ascii="华文细黑" w:hAnsi="华文细黑" w:eastAsia="华文细黑" w:cs="华文细黑"/>
                <w:i w:val="0"/>
                <w:color w:val="000000"/>
                <w:kern w:val="0"/>
                <w:sz w:val="18"/>
                <w:szCs w:val="18"/>
                <w:u w:val="none"/>
                <w:lang w:val="en-US" w:eastAsia="zh-CN" w:bidi="ar"/>
              </w:rPr>
              <w:t>交易账簿和银行账簿间转换的资本要求</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604,010 </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422,971 </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48,321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default" w:ascii="华文细黑" w:hAnsi="华文细黑" w:eastAsia="华文细黑" w:cs="华文细黑"/>
                <w:i w:val="0"/>
                <w:color w:val="000000"/>
                <w:kern w:val="0"/>
                <w:sz w:val="18"/>
                <w:szCs w:val="18"/>
                <w:u w:val="none"/>
                <w:lang w:val="en-US" w:eastAsia="zh-CN" w:bidi="ar"/>
              </w:rPr>
              <w:t>5</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细黑" w:hAnsi="华文细黑" w:eastAsia="华文细黑" w:cs="华文细黑"/>
                <w:b/>
                <w:i w:val="0"/>
                <w:color w:val="000000"/>
                <w:sz w:val="18"/>
                <w:szCs w:val="18"/>
                <w:u w:val="none"/>
              </w:rPr>
            </w:pPr>
            <w:r>
              <w:rPr>
                <w:rFonts w:hint="default" w:ascii="华文细黑" w:hAnsi="华文细黑" w:eastAsia="华文细黑" w:cs="华文细黑"/>
                <w:b/>
                <w:i w:val="0"/>
                <w:color w:val="000000"/>
                <w:kern w:val="0"/>
                <w:sz w:val="18"/>
                <w:szCs w:val="18"/>
                <w:u w:val="none"/>
                <w:lang w:val="en-US" w:eastAsia="zh-CN" w:bidi="ar"/>
              </w:rPr>
              <w:t>合计</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330,657,445 </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332,921,242 </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26,452,596 </w:t>
            </w:r>
          </w:p>
        </w:tc>
      </w:tr>
    </w:tbl>
    <w:p>
      <w:pPr>
        <w:pStyle w:val="2"/>
        <w:spacing w:before="0" w:beforeLines="0" w:after="0" w:afterLines="0"/>
        <w:ind w:firstLine="640"/>
        <w:rPr>
          <w:rFonts w:hint="eastAsia" w:ascii="黑体" w:hAnsi="黑体" w:eastAsia="黑体" w:cs="黑体"/>
          <w:sz w:val="32"/>
          <w:szCs w:val="32"/>
          <w:lang w:eastAsia="zh-CN"/>
        </w:rPr>
      </w:pPr>
      <w:r>
        <w:rPr>
          <w:rFonts w:hint="eastAsia" w:ascii="黑体" w:hAnsi="黑体" w:eastAsia="黑体" w:cs="黑体"/>
          <w:sz w:val="32"/>
          <w:szCs w:val="32"/>
          <w:lang w:eastAsia="zh-CN"/>
        </w:rPr>
        <w:t>三、资本构成</w:t>
      </w:r>
    </w:p>
    <w:p>
      <w:pPr>
        <w:pStyle w:val="2"/>
        <w:spacing w:beforeLines="0" w:afterLine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（一）资本工具的主要特征</w:t>
      </w:r>
    </w:p>
    <w:p>
      <w:pPr>
        <w:pStyle w:val="2"/>
        <w:spacing w:beforeLines="0" w:afterLines="0"/>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截至202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lang w:eastAsia="zh-CN"/>
        </w:rPr>
        <w:t>年</w:t>
      </w:r>
      <w:r>
        <w:rPr>
          <w:rFonts w:hint="eastAsia" w:ascii="仿宋_GB2312" w:hAnsi="仿宋_GB2312" w:eastAsia="仿宋_GB2312"/>
          <w:sz w:val="32"/>
          <w:szCs w:val="32"/>
          <w:lang w:val="en-US" w:eastAsia="zh-CN"/>
        </w:rPr>
        <w:t>6月</w:t>
      </w:r>
      <w:r>
        <w:rPr>
          <w:rFonts w:hint="eastAsia" w:ascii="仿宋_GB2312" w:hAnsi="仿宋_GB2312" w:eastAsia="仿宋_GB2312"/>
          <w:sz w:val="32"/>
          <w:szCs w:val="32"/>
          <w:lang w:eastAsia="zh-CN"/>
        </w:rPr>
        <w:t>末，本行资本工具包括普通股、无固定期限资本债券及二级资本债。根据《资本管理办法》相关要求，本行单独在官方网站披露《表格CCA-资本工具的主要特征》（详见附件）。官方网站披露位置为“关于我行-投资者关系-资本监管”，相应网址链接如下：</w:t>
      </w:r>
    </w:p>
    <w:p>
      <w:pPr>
        <w:pStyle w:val="2"/>
        <w:spacing w:beforeLines="0" w:afterLines="0"/>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www.qrcb.com.cn/qrcb/tzzgx/jgzb/index.html</w:t>
      </w:r>
    </w:p>
    <w:p>
      <w:pPr>
        <w:pStyle w:val="2"/>
        <w:spacing w:beforeLines="0" w:afterLines="0"/>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在资本工具发生赎回、减记、转股或其他重大变化时，本行将及时更新该表格。</w:t>
      </w:r>
    </w:p>
    <w:p>
      <w:pPr>
        <w:pStyle w:val="2"/>
        <w:spacing w:beforeLines="0" w:afterLine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（二）资本构成</w:t>
      </w:r>
    </w:p>
    <w:p>
      <w:pPr>
        <w:pStyle w:val="2"/>
        <w:spacing w:beforeLines="0" w:afterLines="0"/>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截至</w:t>
      </w:r>
      <w:r>
        <w:rPr>
          <w:rFonts w:hint="eastAsia" w:ascii="仿宋_GB2312" w:hAnsi="仿宋_GB2312" w:eastAsia="仿宋_GB2312"/>
          <w:sz w:val="32"/>
          <w:szCs w:val="32"/>
          <w:lang w:val="en-US" w:eastAsia="zh-CN"/>
        </w:rPr>
        <w:t>2025年6月末</w:t>
      </w:r>
      <w:r>
        <w:rPr>
          <w:rFonts w:hint="eastAsia" w:ascii="仿宋_GB2312" w:hAnsi="仿宋_GB2312" w:eastAsia="仿宋_GB2312"/>
          <w:sz w:val="32"/>
          <w:szCs w:val="32"/>
          <w:lang w:eastAsia="zh-CN"/>
        </w:rPr>
        <w:t>，本行根据资本管理办法及相关规定计量的并表资本构成情况如下表所示：</w:t>
      </w:r>
    </w:p>
    <w:p>
      <w:pPr>
        <w:pStyle w:val="2"/>
        <w:ind w:firstLine="0" w:firstLineChars="0"/>
        <w:jc w:val="center"/>
        <w:rPr>
          <w:rFonts w:hint="eastAsia" w:ascii="仿宋_GB2312" w:hAnsi="仿宋_GB2312" w:eastAsia="仿宋_GB2312"/>
          <w:sz w:val="30"/>
          <w:szCs w:val="30"/>
          <w:lang w:eastAsia="zh-CN"/>
        </w:rPr>
      </w:pPr>
      <w:r>
        <w:rPr>
          <w:rFonts w:hint="eastAsia" w:ascii="仿宋_GB2312" w:hAnsi="仿宋_GB2312" w:eastAsia="仿宋_GB2312"/>
          <w:sz w:val="30"/>
          <w:szCs w:val="30"/>
          <w:lang w:eastAsia="zh-CN"/>
        </w:rPr>
        <w:t>表3</w:t>
      </w:r>
      <w:r>
        <w:rPr>
          <w:rFonts w:hint="eastAsia" w:ascii="仿宋_GB2312" w:hAnsi="仿宋_GB2312" w:eastAsia="仿宋_GB2312"/>
          <w:sz w:val="30"/>
          <w:szCs w:val="30"/>
          <w:lang w:val="en-US" w:eastAsia="zh-CN"/>
        </w:rPr>
        <w:t xml:space="preserve"> </w:t>
      </w:r>
      <w:r>
        <w:rPr>
          <w:rFonts w:hint="eastAsia" w:ascii="仿宋_GB2312" w:hAnsi="仿宋_GB2312" w:eastAsia="仿宋_GB2312"/>
          <w:sz w:val="30"/>
          <w:szCs w:val="30"/>
          <w:lang w:eastAsia="zh-CN"/>
        </w:rPr>
        <w:t>CC1-资本构成</w:t>
      </w:r>
    </w:p>
    <w:p>
      <w:pPr>
        <w:pStyle w:val="2"/>
        <w:ind w:firstLine="4620" w:firstLineChars="2100"/>
        <w:rPr>
          <w:rFonts w:hint="eastAsia" w:ascii="仿宋_GB2312" w:hAnsi="仿宋_GB2312" w:eastAsia="仿宋_GB2312"/>
          <w:sz w:val="22"/>
          <w:szCs w:val="22"/>
          <w:lang w:eastAsia="zh-CN"/>
        </w:rPr>
      </w:pPr>
      <w:r>
        <w:rPr>
          <w:rFonts w:hint="eastAsia" w:ascii="仿宋_GB2312" w:hAnsi="仿宋_GB2312" w:eastAsia="仿宋_GB2312"/>
          <w:sz w:val="22"/>
          <w:szCs w:val="22"/>
          <w:lang w:eastAsia="zh-CN"/>
        </w:rPr>
        <w:t>单位：人民币千元（百分比除外）</w:t>
      </w:r>
    </w:p>
    <w:tbl>
      <w:tblPr>
        <w:tblStyle w:val="8"/>
        <w:tblW w:w="8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3"/>
        <w:gridCol w:w="4713"/>
        <w:gridCol w:w="2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5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资本构成</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220"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核心一级资本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实收资本和资本公积可计入部分</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9,326,499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留存收益</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25,878,642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2a</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盈余公积</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5,690,702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2b</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一般风险准备</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6,867,289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2c</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未分配利润</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13,320,651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累计其他综合收益</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1,508,162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少数股东资本可计入部分</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扣除前的核心一级资本</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36,761,812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220"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核心一级资本：扣除项</w:t>
            </w:r>
            <w:r>
              <w:rPr>
                <w:rStyle w:val="1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审慎估值调整</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商誉（扣除递延税负债）</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其他无形资产（土地使用权除外）（扣除递延税负债）</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依赖未来盈利的由经营亏损引起的净递延税资产</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对未按公允价值计量的项目进行套期形成的现金流储备</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损失准备缺口</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资产证券化销售利得</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自身信用风险变化导致其负债公允价值变化带来的未实现损益</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确定受益类的养老金资产净额（扣除递延税项负债）</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直接或间接持有本银行的股票</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银行间或银行与其他金融机构间通过协议相互持有的核心一级资本</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对未并表金融机构小额少数资本投资中的核心一级资本中应扣除金额</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对未并表金融机构大额少数资本投资中的核心一级资本中应扣除金额</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其他依赖于银行未来盈利的净递延税资产中应扣除金额</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1,792,454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对未并表金融机构大额少数资本投资中的核心一级资本和其他依赖于银行未来盈利的净递延税资产的未扣除部分超过核心一级资本15%的应扣除金额</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其中：应在对金融机构大额少数资本投资中扣除的金额</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其中：应在其他依赖于银行未来盈利的净递延税资产中扣除的金额</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其他应在核心一级资本中扣除的项目合计</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应从其他一级资本和二级资本中扣除的未扣缺口</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核心一级资本扣除项总和</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1,792,454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核心一级资本净额</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34,969,358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220"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其他一级资本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其他一级资本工具及其溢价</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其中：权益部分</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其中：负债部分</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少数股东资本可计入部分</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扣除前的其他一级资本</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4,999,317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220"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其他一级资本:扣除项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直接或间接持有的本银行其他一级资本</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银行间或银行与其他金融机构间通过协议相互持有的其他一级资本</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对未并表金融机构小额少数资本投资中的其他一级资本中应扣除金额</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对未并表金融机构大额少数资本投资中的其他一级资本中应扣除金额</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其他应在其他一级资本中扣除的项目合计</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应从二级资本中扣除的未扣缺口</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其他一级资本扣除项总和</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其他一级资本净额</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4,999,317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一级资本净额</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39,968,675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220"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二级资本工具及其溢价</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少数股东资本可计入部分</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超额损失准备可计入部分</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3,730,273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扣除前的二级资本</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5,743,209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220"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二级资本：扣除项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直接或间接持有的本银行的二级资本</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银行间或银行与其他金融机构间通过协议相互持有的其他一级资本</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对未并表金融机构小额少数资本投资中的二级资本中应扣除金额</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对未并表金融机构大额少数资本投资中的二级资本</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其他应在二级资本中扣除的项目合计</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二级资本扣除项总和</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二级资本净额</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5,587,506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总资本净额</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45,556,181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风险加权资产</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330,657,445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220"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资本充足率和其他各级资本要求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核心一级资本充足率（%）</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一级资本充足率（%）</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资本充足率（%）</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其他各级资本要求（%）</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其中：储备资本要求</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其中：逆周期资本要求</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其中：全球系统重要性银行或国内系统重要性银行附加资本要求</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满足最低资本要求后的可用核心一级资本净额占风险加权资产的比例（%）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220"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我国最低监管资本要求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核心一级资本充足率（%）</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一级资本充足率（%）</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资本充足率（%）</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220"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门槛扣除项中未扣除部分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对未并表金融机构的小额少数资本投资中未扣除部分</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对未并表金融机构的大额少数资本投资中未扣除部分</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其他依赖于银行未来盈利的净递延税资产（扣除递延税负债）</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3,595,985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220"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可计入二级资本的超额损失准备的限额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权重法下，实际计提的超额损失准备金额</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7,775,042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权重法下，可计入二级资本超额损失准备的数额</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3,730,273</w:t>
            </w:r>
          </w:p>
        </w:tc>
      </w:tr>
    </w:tbl>
    <w:p>
      <w:pPr>
        <w:pStyle w:val="2"/>
        <w:rPr>
          <w:rFonts w:hint="eastAsia" w:ascii="仿宋_GB2312" w:hAnsi="仿宋_GB2312" w:eastAsia="仿宋_GB2312"/>
          <w:sz w:val="32"/>
          <w:szCs w:val="32"/>
          <w:lang w:eastAsia="zh-CN"/>
        </w:rPr>
      </w:pPr>
    </w:p>
    <w:p>
      <w:pPr>
        <w:pStyle w:val="2"/>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（三）集团财务并表和监管并表下的资产负债表的差异</w:t>
      </w:r>
    </w:p>
    <w:p>
      <w:pPr>
        <w:pStyle w:val="2"/>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截至</w:t>
      </w:r>
      <w:r>
        <w:rPr>
          <w:rFonts w:hint="eastAsia" w:ascii="仿宋_GB2312" w:hAnsi="仿宋_GB2312" w:eastAsia="仿宋_GB2312"/>
          <w:sz w:val="32"/>
          <w:szCs w:val="32"/>
          <w:lang w:val="en-US" w:eastAsia="zh-CN"/>
        </w:rPr>
        <w:t>2025年6月末</w:t>
      </w:r>
      <w:r>
        <w:rPr>
          <w:rFonts w:hint="eastAsia" w:ascii="仿宋_GB2312" w:hAnsi="仿宋_GB2312" w:eastAsia="仿宋_GB2312"/>
          <w:sz w:val="32"/>
          <w:szCs w:val="32"/>
          <w:lang w:eastAsia="zh-CN"/>
        </w:rPr>
        <w:t>，本行财务并表和监管并表不存在差异。各项定量信息如下所示：</w:t>
      </w:r>
    </w:p>
    <w:p>
      <w:pPr>
        <w:pStyle w:val="2"/>
        <w:ind w:firstLine="0" w:firstLineChars="0"/>
        <w:jc w:val="center"/>
        <w:rPr>
          <w:rFonts w:hint="eastAsia" w:ascii="仿宋_GB2312" w:hAnsi="仿宋_GB2312" w:eastAsia="仿宋_GB2312"/>
          <w:sz w:val="30"/>
          <w:szCs w:val="30"/>
          <w:lang w:eastAsia="zh-CN"/>
        </w:rPr>
      </w:pPr>
      <w:r>
        <w:rPr>
          <w:rFonts w:hint="eastAsia" w:ascii="仿宋_GB2312" w:hAnsi="仿宋_GB2312" w:eastAsia="仿宋_GB2312"/>
          <w:sz w:val="30"/>
          <w:szCs w:val="30"/>
          <w:lang w:eastAsia="zh-CN"/>
        </w:rPr>
        <w:t>表4</w:t>
      </w:r>
      <w:r>
        <w:rPr>
          <w:rFonts w:hint="eastAsia" w:ascii="仿宋_GB2312" w:hAnsi="仿宋_GB2312" w:eastAsia="仿宋_GB2312"/>
          <w:sz w:val="30"/>
          <w:szCs w:val="30"/>
          <w:lang w:val="en-US" w:eastAsia="zh-CN"/>
        </w:rPr>
        <w:t xml:space="preserve"> </w:t>
      </w:r>
      <w:r>
        <w:rPr>
          <w:rFonts w:hint="eastAsia" w:ascii="仿宋_GB2312" w:hAnsi="仿宋_GB2312" w:eastAsia="仿宋_GB2312"/>
          <w:sz w:val="30"/>
          <w:szCs w:val="30"/>
          <w:lang w:eastAsia="zh-CN"/>
        </w:rPr>
        <w:t>CC2-集团财务并表和监管并表下资产负债表的差异</w:t>
      </w:r>
    </w:p>
    <w:p>
      <w:pPr>
        <w:pStyle w:val="2"/>
        <w:ind w:firstLine="4620" w:firstLineChars="2100"/>
        <w:rPr>
          <w:rFonts w:hint="eastAsia" w:ascii="仿宋_GB2312" w:hAnsi="仿宋_GB2312" w:eastAsia="仿宋_GB2312"/>
          <w:sz w:val="22"/>
          <w:szCs w:val="22"/>
          <w:lang w:eastAsia="zh-CN"/>
        </w:rPr>
      </w:pPr>
      <w:r>
        <w:rPr>
          <w:rFonts w:hint="eastAsia" w:ascii="仿宋_GB2312" w:hAnsi="仿宋_GB2312" w:eastAsia="仿宋_GB2312"/>
          <w:sz w:val="22"/>
          <w:szCs w:val="22"/>
          <w:lang w:eastAsia="zh-CN"/>
        </w:rPr>
        <w:t>单位：人民币千元</w:t>
      </w:r>
    </w:p>
    <w:tbl>
      <w:tblPr>
        <w:tblStyle w:val="8"/>
        <w:tblW w:w="7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9"/>
        <w:gridCol w:w="3041"/>
        <w:gridCol w:w="32"/>
        <w:gridCol w:w="1798"/>
        <w:gridCol w:w="49"/>
        <w:gridCol w:w="1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集团财务并表和监管并表下的资产负债表差异</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财务并表范围下的资产负债表</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监管并表范围下的资产负债表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207"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现金及存放中央银行款项</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25,014,905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25,014,905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存放同业款项</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9,533,895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9,533,895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贵金属</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拆出资金</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15,757,473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15,757,473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衍生金融资产</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476,081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买入返售金融资产</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4,789,546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4,789,546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发放贷款和垫款</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260,916,524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260,916,524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金融投资</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179,120,139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179,120,139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其中：交易性金融资产</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51,402,089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51,402,089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其中：债权投资</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67,779,841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67,779,841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其中：其他债权投资</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59,933,010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59,933,010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其中：其他权益工具投资</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长期股权投资</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投资性房地产</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3,086,350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在建工程</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88,818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使用权资产</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367,017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69,857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递延所得税资产</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5,749,708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5,749,708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其他资产</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275,549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资产合计</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505,245,867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505,245,867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207"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负债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向中央银行借款</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17,846,833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17,846,833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同业及其他金融机构存放款项</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3,083,352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3,083,352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拆入资金</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9,792,667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9,792,667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交易性金融负债</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衍生金融负债</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166,037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卖出回购金融资产款</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16,057,666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16,057,666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吸收存款</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334,387,600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334,387,600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应付债券</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77,608,187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77,608,187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应付职工薪酬</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1,930,644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1,930,644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应交税费</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424,956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租赁负债</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204,029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预计负债</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325,790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其他负债</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1,503,803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1,503,803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负债合计</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463,331,564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463,331,564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207"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所有者权益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实收资本（或股本）</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5,555,619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5,555,619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其他权益工具</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5,471,440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5,471,440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其中：永续债</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4,992,849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资本公积</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3,770,880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3,770,880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其他综合收益</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1,029,571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1,029,571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盈余公积</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5,690,702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5,690,702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一般风险准备</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6,867,289</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6,867,289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未分配利润</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13,320,651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13,320,651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少数股东权益</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208,151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所有者权益合计</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41,914,303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41,914,303</w:t>
            </w:r>
          </w:p>
        </w:tc>
      </w:tr>
    </w:tbl>
    <w:p>
      <w:pPr>
        <w:pStyle w:val="2"/>
        <w:spacing w:before="0" w:beforeLines="0" w:after="0" w:afterLines="0"/>
        <w:ind w:firstLine="640"/>
        <w:rPr>
          <w:rFonts w:hint="eastAsia" w:ascii="黑体" w:hAnsi="黑体" w:eastAsia="黑体" w:cs="黑体"/>
          <w:sz w:val="32"/>
          <w:szCs w:val="32"/>
          <w:lang w:eastAsia="zh-CN"/>
        </w:rPr>
      </w:pPr>
      <w:r>
        <w:rPr>
          <w:rFonts w:hint="eastAsia" w:ascii="黑体" w:hAnsi="黑体" w:eastAsia="黑体" w:cs="黑体"/>
          <w:sz w:val="32"/>
          <w:szCs w:val="32"/>
          <w:lang w:eastAsia="zh-CN"/>
        </w:rPr>
        <w:t>四、杠杆率</w:t>
      </w:r>
    </w:p>
    <w:p>
      <w:pPr>
        <w:pStyle w:val="2"/>
        <w:spacing w:beforeLines="0" w:afterLine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（一）杠杆率监管项目与相关会计项目的差异</w:t>
      </w:r>
    </w:p>
    <w:p>
      <w:pPr>
        <w:pStyle w:val="2"/>
        <w:spacing w:beforeLines="0" w:afterLines="0"/>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截至2025年6月末，本行杠杆率监管项目与相关会计项目差异的定量信息如下表所示：</w:t>
      </w:r>
    </w:p>
    <w:p>
      <w:pPr>
        <w:pStyle w:val="2"/>
        <w:ind w:firstLine="0" w:firstLineChars="0"/>
        <w:jc w:val="center"/>
        <w:rPr>
          <w:rFonts w:hint="eastAsia" w:ascii="仿宋_GB2312" w:hAnsi="仿宋_GB2312" w:eastAsia="仿宋_GB2312"/>
          <w:sz w:val="30"/>
          <w:szCs w:val="30"/>
          <w:lang w:eastAsia="zh-CN"/>
        </w:rPr>
      </w:pPr>
      <w:r>
        <w:rPr>
          <w:rFonts w:hint="eastAsia" w:ascii="仿宋_GB2312" w:hAnsi="仿宋_GB2312" w:eastAsia="仿宋_GB2312"/>
          <w:sz w:val="30"/>
          <w:szCs w:val="30"/>
          <w:lang w:eastAsia="zh-CN"/>
        </w:rPr>
        <w:t>表5</w:t>
      </w:r>
      <w:r>
        <w:rPr>
          <w:rFonts w:hint="eastAsia" w:ascii="仿宋_GB2312" w:hAnsi="仿宋_GB2312" w:eastAsia="仿宋_GB2312"/>
          <w:sz w:val="30"/>
          <w:szCs w:val="30"/>
          <w:lang w:val="en-US" w:eastAsia="zh-CN"/>
        </w:rPr>
        <w:t xml:space="preserve"> </w:t>
      </w:r>
      <w:r>
        <w:rPr>
          <w:rFonts w:hint="eastAsia" w:ascii="仿宋_GB2312" w:hAnsi="仿宋_GB2312" w:eastAsia="仿宋_GB2312"/>
          <w:sz w:val="30"/>
          <w:szCs w:val="30"/>
          <w:lang w:eastAsia="zh-CN"/>
        </w:rPr>
        <w:t>LR1-杠杆率监管项目与相关会计项目的差异</w:t>
      </w:r>
    </w:p>
    <w:p>
      <w:pPr>
        <w:pStyle w:val="2"/>
        <w:ind w:firstLine="4620" w:firstLineChars="2100"/>
        <w:rPr>
          <w:rFonts w:hint="eastAsia" w:ascii="仿宋_GB2312" w:hAnsi="仿宋_GB2312" w:eastAsia="仿宋_GB2312"/>
          <w:sz w:val="22"/>
          <w:szCs w:val="22"/>
          <w:lang w:eastAsia="zh-CN"/>
        </w:rPr>
      </w:pPr>
      <w:r>
        <w:rPr>
          <w:rFonts w:hint="eastAsia" w:ascii="仿宋_GB2312" w:hAnsi="仿宋_GB2312" w:eastAsia="仿宋_GB2312"/>
          <w:sz w:val="22"/>
          <w:szCs w:val="22"/>
          <w:lang w:eastAsia="zh-CN"/>
        </w:rPr>
        <w:t>单位：人民币千元（百分比除外）</w:t>
      </w:r>
    </w:p>
    <w:tbl>
      <w:tblPr>
        <w:tblStyle w:val="8"/>
        <w:tblW w:w="5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69"/>
        <w:gridCol w:w="2528"/>
        <w:gridCol w:w="2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3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华文细黑" w:hAnsi="华文细黑" w:eastAsia="华文细黑" w:cs="华文细黑"/>
                <w:i w:val="0"/>
                <w:color w:val="000000"/>
                <w:sz w:val="18"/>
                <w:szCs w:val="18"/>
                <w:u w:val="none"/>
              </w:rPr>
            </w:pPr>
            <w:r>
              <w:rPr>
                <w:rFonts w:hint="default" w:ascii="华文细黑" w:hAnsi="华文细黑" w:eastAsia="华文细黑" w:cs="华文细黑"/>
                <w:i w:val="0"/>
                <w:color w:val="000000"/>
                <w:kern w:val="0"/>
                <w:sz w:val="18"/>
                <w:szCs w:val="18"/>
                <w:u w:val="none"/>
                <w:lang w:val="en-US" w:eastAsia="zh-CN" w:bidi="ar"/>
              </w:rPr>
              <w:t>杠杆率监管项目与相关会计项目的差异</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default" w:ascii="华文细黑" w:hAnsi="华文细黑" w:eastAsia="华文细黑" w:cs="华文细黑"/>
                <w:i w:val="0"/>
                <w:color w:val="000000"/>
                <w:kern w:val="0"/>
                <w:sz w:val="18"/>
                <w:szCs w:val="18"/>
                <w:u w:val="none"/>
                <w:lang w:val="en-US" w:eastAsia="zh-CN" w:bidi="ar"/>
              </w:rPr>
              <w:t>202</w:t>
            </w:r>
            <w:r>
              <w:rPr>
                <w:rFonts w:hint="eastAsia" w:ascii="华文细黑" w:hAnsi="华文细黑" w:eastAsia="华文细黑" w:cs="华文细黑"/>
                <w:i w:val="0"/>
                <w:color w:val="000000"/>
                <w:kern w:val="0"/>
                <w:sz w:val="18"/>
                <w:szCs w:val="18"/>
                <w:u w:val="none"/>
                <w:lang w:val="en-US" w:eastAsia="zh-CN" w:bidi="ar"/>
              </w:rPr>
              <w:t>5</w:t>
            </w:r>
            <w:r>
              <w:rPr>
                <w:rFonts w:hint="default" w:ascii="华文细黑" w:hAnsi="华文细黑" w:eastAsia="华文细黑" w:cs="华文细黑"/>
                <w:i w:val="0"/>
                <w:color w:val="000000"/>
                <w:kern w:val="0"/>
                <w:sz w:val="18"/>
                <w:szCs w:val="18"/>
                <w:u w:val="none"/>
                <w:lang w:val="en-US" w:eastAsia="zh-CN" w:bidi="ar"/>
              </w:rPr>
              <w:t>年</w:t>
            </w:r>
            <w:r>
              <w:rPr>
                <w:rFonts w:hint="eastAsia" w:ascii="华文细黑" w:hAnsi="华文细黑" w:eastAsia="华文细黑" w:cs="华文细黑"/>
                <w:i w:val="0"/>
                <w:color w:val="000000"/>
                <w:kern w:val="0"/>
                <w:sz w:val="18"/>
                <w:szCs w:val="18"/>
                <w:u w:val="none"/>
                <w:lang w:val="en-US" w:eastAsia="zh-CN" w:bidi="ar"/>
              </w:rPr>
              <w:t>6</w:t>
            </w:r>
            <w:r>
              <w:rPr>
                <w:rFonts w:hint="default" w:ascii="华文细黑" w:hAnsi="华文细黑" w:eastAsia="华文细黑" w:cs="华文细黑"/>
                <w:i w:val="0"/>
                <w:color w:val="000000"/>
                <w:kern w:val="0"/>
                <w:sz w:val="18"/>
                <w:szCs w:val="18"/>
                <w:u w:val="none"/>
                <w:lang w:val="en-US" w:eastAsia="zh-CN" w:bidi="ar"/>
              </w:rPr>
              <w:t>月3</w:t>
            </w:r>
            <w:r>
              <w:rPr>
                <w:rFonts w:hint="eastAsia" w:ascii="华文细黑" w:hAnsi="华文细黑" w:eastAsia="华文细黑" w:cs="华文细黑"/>
                <w:i w:val="0"/>
                <w:color w:val="000000"/>
                <w:kern w:val="0"/>
                <w:sz w:val="18"/>
                <w:szCs w:val="18"/>
                <w:u w:val="none"/>
                <w:lang w:val="en-US" w:eastAsia="zh-CN" w:bidi="ar"/>
              </w:rPr>
              <w:t>0</w:t>
            </w:r>
            <w:r>
              <w:rPr>
                <w:rFonts w:hint="default" w:ascii="华文细黑" w:hAnsi="华文细黑" w:eastAsia="华文细黑" w:cs="华文细黑"/>
                <w:i w:val="0"/>
                <w:color w:val="000000"/>
                <w:kern w:val="0"/>
                <w:sz w:val="18"/>
                <w:szCs w:val="18"/>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并表总资产</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505,245,867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并表调整项</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3</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客户资产调整项</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4</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衍生工具调整项</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26,222,435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5</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证券融资交易调整项</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6</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表外项目调整项</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20,160,351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7</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资产证券化交易调整项</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8</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未结算金融资产调整项</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9</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现金池调整项</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10</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存款准备金调整项（如有）</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11</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审慎估值和减值准备调整项</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12</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其他调整项</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-1,792,454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b/>
                <w:i w:val="0"/>
                <w:color w:val="000000"/>
                <w:sz w:val="18"/>
                <w:szCs w:val="18"/>
                <w:u w:val="none"/>
              </w:rPr>
            </w:pPr>
            <w:r>
              <w:rPr>
                <w:rFonts w:hint="eastAsia" w:ascii="华文细黑" w:hAnsi="华文细黑" w:eastAsia="华文细黑" w:cs="华文细黑"/>
                <w:b/>
                <w:bCs/>
                <w:i w:val="0"/>
                <w:iCs w:val="0"/>
                <w:color w:val="000000"/>
                <w:kern w:val="0"/>
                <w:sz w:val="18"/>
                <w:szCs w:val="18"/>
                <w:u w:val="none"/>
                <w:lang w:val="en-US" w:eastAsia="zh-CN" w:bidi="ar"/>
              </w:rPr>
              <w:t>13</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i w:val="0"/>
                <w:color w:val="000000"/>
                <w:sz w:val="18"/>
                <w:szCs w:val="18"/>
                <w:u w:val="none"/>
              </w:rPr>
            </w:pPr>
            <w:r>
              <w:rPr>
                <w:rFonts w:hint="eastAsia" w:ascii="华文细黑" w:hAnsi="华文细黑" w:eastAsia="华文细黑" w:cs="华文细黑"/>
                <w:b/>
                <w:bCs/>
                <w:i w:val="0"/>
                <w:iCs w:val="0"/>
                <w:color w:val="000000"/>
                <w:kern w:val="0"/>
                <w:sz w:val="18"/>
                <w:szCs w:val="18"/>
                <w:u w:val="none"/>
                <w:lang w:val="en-US" w:eastAsia="zh-CN" w:bidi="ar"/>
              </w:rPr>
              <w:t>调整后表内外资产余额</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549,836,198 </w:t>
            </w:r>
          </w:p>
        </w:tc>
      </w:tr>
    </w:tbl>
    <w:p>
      <w:pPr>
        <w:pStyle w:val="2"/>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（二）杠杆率</w:t>
      </w:r>
    </w:p>
    <w:p>
      <w:pPr>
        <w:pStyle w:val="2"/>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截至</w:t>
      </w:r>
      <w:r>
        <w:rPr>
          <w:rFonts w:hint="eastAsia" w:ascii="仿宋_GB2312" w:hAnsi="仿宋_GB2312" w:eastAsia="仿宋_GB2312"/>
          <w:sz w:val="32"/>
          <w:szCs w:val="32"/>
          <w:lang w:val="en-US" w:eastAsia="zh-CN"/>
        </w:rPr>
        <w:t>2025</w:t>
      </w:r>
      <w:r>
        <w:rPr>
          <w:rFonts w:hint="eastAsia" w:ascii="仿宋_GB2312" w:hAnsi="仿宋_GB2312" w:eastAsia="仿宋_GB2312"/>
          <w:sz w:val="32"/>
          <w:szCs w:val="32"/>
          <w:lang w:eastAsia="zh-CN"/>
        </w:rPr>
        <w:t>年</w:t>
      </w:r>
      <w:r>
        <w:rPr>
          <w:rFonts w:hint="eastAsia" w:ascii="仿宋_GB2312" w:hAnsi="仿宋_GB2312" w:eastAsia="仿宋_GB2312"/>
          <w:sz w:val="32"/>
          <w:szCs w:val="32"/>
          <w:lang w:val="en-US" w:eastAsia="zh-CN"/>
        </w:rPr>
        <w:t>6月</w:t>
      </w:r>
      <w:r>
        <w:rPr>
          <w:rFonts w:hint="eastAsia" w:ascii="仿宋_GB2312" w:hAnsi="仿宋_GB2312" w:eastAsia="仿宋_GB2312"/>
          <w:sz w:val="32"/>
          <w:szCs w:val="32"/>
          <w:lang w:eastAsia="zh-CN"/>
        </w:rPr>
        <w:t>末，本行杠杆率为</w:t>
      </w:r>
      <w:r>
        <w:rPr>
          <w:rFonts w:hint="eastAsia" w:ascii="仿宋_GB2312" w:hAnsi="仿宋_GB2312" w:eastAsia="仿宋_GB2312"/>
          <w:sz w:val="32"/>
          <w:szCs w:val="32"/>
          <w:lang w:val="en-US" w:eastAsia="zh-CN"/>
        </w:rPr>
        <w:t>7.27</w:t>
      </w:r>
      <w:r>
        <w:rPr>
          <w:rFonts w:hint="eastAsia" w:ascii="仿宋_GB2312" w:hAnsi="仿宋_GB2312" w:eastAsia="仿宋_GB2312"/>
          <w:sz w:val="32"/>
          <w:szCs w:val="32"/>
          <w:lang w:eastAsia="zh-CN"/>
        </w:rPr>
        <w:t>%，满足监管不低于4%的要求。具体杠杆率情况如下表：</w:t>
      </w:r>
    </w:p>
    <w:p>
      <w:pPr>
        <w:pStyle w:val="2"/>
        <w:ind w:firstLine="0" w:firstLineChars="0"/>
        <w:jc w:val="center"/>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表6</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lang w:eastAsia="zh-CN"/>
        </w:rPr>
        <w:t>LR2-杠杆率</w:t>
      </w:r>
    </w:p>
    <w:p>
      <w:pPr>
        <w:pStyle w:val="2"/>
        <w:ind w:firstLine="4620" w:firstLineChars="2100"/>
        <w:rPr>
          <w:rFonts w:hint="eastAsia" w:ascii="仿宋_GB2312" w:hAnsi="仿宋_GB2312" w:eastAsia="仿宋_GB2312"/>
          <w:sz w:val="22"/>
          <w:szCs w:val="22"/>
          <w:lang w:eastAsia="zh-CN"/>
        </w:rPr>
      </w:pPr>
      <w:r>
        <w:rPr>
          <w:rFonts w:hint="eastAsia" w:ascii="仿宋_GB2312" w:hAnsi="仿宋_GB2312" w:eastAsia="仿宋_GB2312"/>
          <w:sz w:val="22"/>
          <w:szCs w:val="22"/>
          <w:lang w:eastAsia="zh-CN"/>
        </w:rPr>
        <w:t>单位：人民币千元（百分比除外）</w:t>
      </w:r>
    </w:p>
    <w:tbl>
      <w:tblPr>
        <w:tblStyle w:val="8"/>
        <w:tblW w:w="75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2"/>
        <w:gridCol w:w="3275"/>
        <w:gridCol w:w="1825"/>
        <w:gridCol w:w="1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0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华文细黑" w:hAnsi="华文细黑" w:eastAsia="华文细黑" w:cs="华文细黑"/>
                <w:i w:val="0"/>
                <w:color w:val="000000"/>
                <w:sz w:val="18"/>
                <w:szCs w:val="18"/>
                <w:u w:val="none"/>
              </w:rPr>
            </w:pPr>
            <w:r>
              <w:rPr>
                <w:rFonts w:hint="default" w:ascii="华文细黑" w:hAnsi="华文细黑" w:eastAsia="华文细黑" w:cs="华文细黑"/>
                <w:i w:val="0"/>
                <w:color w:val="000000"/>
                <w:kern w:val="0"/>
                <w:sz w:val="18"/>
                <w:szCs w:val="18"/>
                <w:u w:val="none"/>
                <w:lang w:val="en-US" w:eastAsia="zh-CN" w:bidi="ar"/>
              </w:rPr>
              <w:t>杠杆率</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40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i w:val="0"/>
                <w:color w:val="000000"/>
                <w:sz w:val="18"/>
                <w:szCs w:val="18"/>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default" w:ascii="华文细黑" w:hAnsi="华文细黑" w:eastAsia="华文细黑" w:cs="华文细黑"/>
                <w:i w:val="0"/>
                <w:color w:val="000000"/>
                <w:kern w:val="0"/>
                <w:sz w:val="18"/>
                <w:szCs w:val="18"/>
                <w:u w:val="none"/>
                <w:lang w:val="en-US" w:eastAsia="zh-CN" w:bidi="ar"/>
              </w:rPr>
              <w:t>202</w:t>
            </w:r>
            <w:r>
              <w:rPr>
                <w:rFonts w:hint="eastAsia" w:ascii="华文细黑" w:hAnsi="华文细黑" w:eastAsia="华文细黑" w:cs="华文细黑"/>
                <w:i w:val="0"/>
                <w:color w:val="000000"/>
                <w:kern w:val="0"/>
                <w:sz w:val="18"/>
                <w:szCs w:val="18"/>
                <w:u w:val="none"/>
                <w:lang w:val="en-US" w:eastAsia="zh-CN" w:bidi="ar"/>
              </w:rPr>
              <w:t>5</w:t>
            </w:r>
            <w:r>
              <w:rPr>
                <w:rFonts w:hint="default" w:ascii="华文细黑" w:hAnsi="华文细黑" w:eastAsia="华文细黑" w:cs="华文细黑"/>
                <w:i w:val="0"/>
                <w:color w:val="000000"/>
                <w:kern w:val="0"/>
                <w:sz w:val="18"/>
                <w:szCs w:val="18"/>
                <w:u w:val="none"/>
                <w:lang w:val="en-US" w:eastAsia="zh-CN" w:bidi="ar"/>
              </w:rPr>
              <w:t>年</w:t>
            </w:r>
            <w:r>
              <w:rPr>
                <w:rFonts w:hint="eastAsia" w:ascii="华文细黑" w:hAnsi="华文细黑" w:eastAsia="华文细黑" w:cs="华文细黑"/>
                <w:i w:val="0"/>
                <w:color w:val="000000"/>
                <w:kern w:val="0"/>
                <w:sz w:val="18"/>
                <w:szCs w:val="18"/>
                <w:u w:val="none"/>
                <w:lang w:val="en-US" w:eastAsia="zh-CN" w:bidi="ar"/>
              </w:rPr>
              <w:t>6</w:t>
            </w:r>
            <w:r>
              <w:rPr>
                <w:rFonts w:hint="default" w:ascii="华文细黑" w:hAnsi="华文细黑" w:eastAsia="华文细黑" w:cs="华文细黑"/>
                <w:i w:val="0"/>
                <w:color w:val="000000"/>
                <w:kern w:val="0"/>
                <w:sz w:val="18"/>
                <w:szCs w:val="18"/>
                <w:u w:val="none"/>
                <w:lang w:val="en-US" w:eastAsia="zh-CN" w:bidi="ar"/>
              </w:rPr>
              <w:t>月3</w:t>
            </w:r>
            <w:r>
              <w:rPr>
                <w:rFonts w:hint="eastAsia" w:ascii="华文细黑" w:hAnsi="华文细黑" w:eastAsia="华文细黑" w:cs="华文细黑"/>
                <w:i w:val="0"/>
                <w:color w:val="000000"/>
                <w:kern w:val="0"/>
                <w:sz w:val="18"/>
                <w:szCs w:val="18"/>
                <w:u w:val="none"/>
                <w:lang w:val="en-US" w:eastAsia="zh-CN" w:bidi="ar"/>
              </w:rPr>
              <w:t>0</w:t>
            </w:r>
            <w:r>
              <w:rPr>
                <w:rFonts w:hint="default" w:ascii="华文细黑" w:hAnsi="华文细黑" w:eastAsia="华文细黑" w:cs="华文细黑"/>
                <w:i w:val="0"/>
                <w:color w:val="000000"/>
                <w:kern w:val="0"/>
                <w:sz w:val="18"/>
                <w:szCs w:val="18"/>
                <w:u w:val="none"/>
                <w:lang w:val="en-US" w:eastAsia="zh-CN" w:bidi="ar"/>
              </w:rPr>
              <w:t>日</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default" w:ascii="华文细黑" w:hAnsi="华文细黑" w:eastAsia="华文细黑" w:cs="华文细黑"/>
                <w:i w:val="0"/>
                <w:color w:val="000000"/>
                <w:kern w:val="0"/>
                <w:sz w:val="18"/>
                <w:szCs w:val="18"/>
                <w:u w:val="none"/>
                <w:lang w:val="en-US" w:eastAsia="zh-CN" w:bidi="ar"/>
              </w:rPr>
              <w:t>202</w:t>
            </w:r>
            <w:r>
              <w:rPr>
                <w:rFonts w:hint="eastAsia" w:ascii="华文细黑" w:hAnsi="华文细黑" w:eastAsia="华文细黑" w:cs="华文细黑"/>
                <w:i w:val="0"/>
                <w:color w:val="000000"/>
                <w:kern w:val="0"/>
                <w:sz w:val="18"/>
                <w:szCs w:val="18"/>
                <w:u w:val="none"/>
                <w:lang w:val="en-US" w:eastAsia="zh-CN" w:bidi="ar"/>
              </w:rPr>
              <w:t>5</w:t>
            </w:r>
            <w:r>
              <w:rPr>
                <w:rFonts w:hint="default" w:ascii="华文细黑" w:hAnsi="华文细黑" w:eastAsia="华文细黑" w:cs="华文细黑"/>
                <w:i w:val="0"/>
                <w:color w:val="000000"/>
                <w:kern w:val="0"/>
                <w:sz w:val="18"/>
                <w:szCs w:val="18"/>
                <w:u w:val="none"/>
                <w:lang w:val="en-US" w:eastAsia="zh-CN" w:bidi="ar"/>
              </w:rPr>
              <w:t>年</w:t>
            </w:r>
            <w:r>
              <w:rPr>
                <w:rFonts w:hint="eastAsia" w:ascii="华文细黑" w:hAnsi="华文细黑" w:eastAsia="华文细黑" w:cs="华文细黑"/>
                <w:i w:val="0"/>
                <w:color w:val="000000"/>
                <w:kern w:val="0"/>
                <w:sz w:val="18"/>
                <w:szCs w:val="18"/>
                <w:u w:val="none"/>
                <w:lang w:val="en-US" w:eastAsia="zh-CN" w:bidi="ar"/>
              </w:rPr>
              <w:t>3</w:t>
            </w:r>
            <w:r>
              <w:rPr>
                <w:rFonts w:hint="default" w:ascii="华文细黑" w:hAnsi="华文细黑" w:eastAsia="华文细黑" w:cs="华文细黑"/>
                <w:i w:val="0"/>
                <w:color w:val="000000"/>
                <w:kern w:val="0"/>
                <w:sz w:val="18"/>
                <w:szCs w:val="18"/>
                <w:u w:val="none"/>
                <w:lang w:val="en-US" w:eastAsia="zh-CN" w:bidi="ar"/>
              </w:rPr>
              <w:t>月3</w:t>
            </w:r>
            <w:r>
              <w:rPr>
                <w:rFonts w:hint="eastAsia" w:ascii="华文细黑" w:hAnsi="华文细黑" w:eastAsia="华文细黑" w:cs="华文细黑"/>
                <w:i w:val="0"/>
                <w:color w:val="000000"/>
                <w:kern w:val="0"/>
                <w:sz w:val="18"/>
                <w:szCs w:val="18"/>
                <w:u w:val="none"/>
                <w:lang w:val="en-US" w:eastAsia="zh-CN" w:bidi="ar"/>
              </w:rPr>
              <w:t>1</w:t>
            </w:r>
            <w:r>
              <w:rPr>
                <w:rFonts w:hint="default" w:ascii="华文细黑" w:hAnsi="华文细黑" w:eastAsia="华文细黑" w:cs="华文细黑"/>
                <w:i w:val="0"/>
                <w:color w:val="000000"/>
                <w:kern w:val="0"/>
                <w:sz w:val="18"/>
                <w:szCs w:val="18"/>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578" w:type="dxa"/>
            <w:gridSpan w:val="4"/>
            <w:tcBorders>
              <w:left w:val="single" w:color="000000" w:sz="4" w:space="0"/>
            </w:tcBorders>
            <w:shd w:val="clear" w:color="auto" w:fill="D9D9D9"/>
            <w:vAlign w:val="bottom"/>
          </w:tcPr>
          <w:p>
            <w:pPr>
              <w:keepNext w:val="0"/>
              <w:keepLines w:val="0"/>
              <w:widowControl/>
              <w:suppressLineNumbers w:val="0"/>
              <w:jc w:val="left"/>
              <w:textAlignment w:val="bottom"/>
              <w:rPr>
                <w:rFonts w:hint="default" w:ascii="华文细黑" w:hAnsi="华文细黑" w:eastAsia="华文细黑" w:cs="华文细黑"/>
                <w:b/>
                <w:i w:val="0"/>
                <w:color w:val="000000"/>
                <w:sz w:val="18"/>
                <w:szCs w:val="18"/>
                <w:u w:val="none"/>
              </w:rPr>
            </w:pPr>
            <w:r>
              <w:rPr>
                <w:rFonts w:hint="eastAsia" w:ascii="华文细黑" w:hAnsi="华文细黑" w:eastAsia="华文细黑" w:cs="华文细黑"/>
                <w:b/>
                <w:bCs/>
                <w:i w:val="0"/>
                <w:iCs w:val="0"/>
                <w:color w:val="000000"/>
                <w:kern w:val="0"/>
                <w:sz w:val="18"/>
                <w:szCs w:val="18"/>
                <w:u w:val="none"/>
                <w:lang w:val="en-US" w:eastAsia="zh-CN" w:bidi="ar"/>
              </w:rPr>
              <w:t>表内资产余额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表内资产（除衍生工具和证券融资交易外）</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512,933,819 </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513,613,024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减：减值准备</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-12,953,579 </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-13,044,546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3</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减：一级资本扣除项</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-1,792,454 </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-2,044,117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4</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细黑" w:hAnsi="华文细黑" w:eastAsia="华文细黑" w:cs="华文细黑"/>
                <w:b/>
                <w:i w:val="0"/>
                <w:color w:val="000000"/>
                <w:sz w:val="18"/>
                <w:szCs w:val="18"/>
                <w:u w:val="none"/>
              </w:rPr>
            </w:pPr>
            <w:r>
              <w:rPr>
                <w:rFonts w:hint="eastAsia" w:ascii="华文细黑" w:hAnsi="华文细黑" w:eastAsia="华文细黑" w:cs="华文细黑"/>
                <w:b/>
                <w:bCs/>
                <w:i w:val="0"/>
                <w:iCs w:val="0"/>
                <w:color w:val="000000"/>
                <w:kern w:val="0"/>
                <w:sz w:val="18"/>
                <w:szCs w:val="18"/>
                <w:u w:val="none"/>
                <w:lang w:val="en-US" w:eastAsia="zh-CN" w:bidi="ar"/>
              </w:rPr>
              <w:t>调整后的表内资产余额（衍生工具和证券融资交易除外）</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498,187,785 </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498,524,361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578" w:type="dxa"/>
            <w:gridSpan w:val="4"/>
            <w:tcBorders>
              <w:top w:val="single" w:color="000000" w:sz="4" w:space="0"/>
              <w:left w:val="single" w:color="000000" w:sz="4" w:space="0"/>
              <w:bottom w:val="single" w:color="000000" w:sz="4" w:space="0"/>
              <w:right w:val="single" w:color="000000" w:sz="4" w:space="0"/>
            </w:tcBorders>
            <w:shd w:val="clear" w:color="auto" w:fill="D9D9D9"/>
            <w:vAlign w:val="bottom"/>
          </w:tcPr>
          <w:p>
            <w:pPr>
              <w:keepNext w:val="0"/>
              <w:keepLines w:val="0"/>
              <w:widowControl/>
              <w:suppressLineNumbers w:val="0"/>
              <w:jc w:val="left"/>
              <w:textAlignment w:val="bottom"/>
              <w:rPr>
                <w:rFonts w:hint="default" w:ascii="华文细黑" w:hAnsi="华文细黑" w:eastAsia="华文细黑" w:cs="华文细黑"/>
                <w:b/>
                <w:i w:val="0"/>
                <w:color w:val="000000"/>
                <w:sz w:val="18"/>
                <w:szCs w:val="18"/>
                <w:u w:val="none"/>
              </w:rPr>
            </w:pPr>
            <w:r>
              <w:rPr>
                <w:rFonts w:hint="eastAsia" w:ascii="华文细黑" w:hAnsi="华文细黑" w:eastAsia="华文细黑" w:cs="华文细黑"/>
                <w:b/>
                <w:bCs/>
                <w:i w:val="0"/>
                <w:iCs w:val="0"/>
                <w:color w:val="000000"/>
                <w:kern w:val="0"/>
                <w:sz w:val="18"/>
                <w:szCs w:val="18"/>
                <w:u w:val="none"/>
                <w:lang w:val="en-US" w:eastAsia="zh-CN" w:bidi="ar"/>
              </w:rPr>
              <w:t>衍生工具资产余额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5</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各类衍生工具的重置成本（扣除合格保证金，考虑双边净额结算协议的影响）</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476,081 </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149,773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6</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各类衍生工具的潜在风险暴露</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26,222,435 </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29,122,724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7</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已从资产负债表中扣除的抵质押品总和</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8</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减：因提供合格保证金形成的应收资产</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9</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减：为客户提供清算服务时与中央交易对手交易形成的衍生工具资产余额</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10</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卖出信用衍生工具的名义本金</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11</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减：可扣除的卖出信用衍生工具资产余额</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12</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i w:val="0"/>
                <w:color w:val="000000"/>
                <w:sz w:val="18"/>
                <w:szCs w:val="18"/>
                <w:u w:val="none"/>
              </w:rPr>
            </w:pPr>
            <w:r>
              <w:rPr>
                <w:rFonts w:hint="eastAsia" w:ascii="华文细黑" w:hAnsi="华文细黑" w:eastAsia="华文细黑" w:cs="华文细黑"/>
                <w:b/>
                <w:bCs/>
                <w:i w:val="0"/>
                <w:iCs w:val="0"/>
                <w:color w:val="000000"/>
                <w:kern w:val="0"/>
                <w:sz w:val="18"/>
                <w:szCs w:val="18"/>
                <w:u w:val="none"/>
                <w:lang w:val="en-US" w:eastAsia="zh-CN" w:bidi="ar"/>
              </w:rPr>
              <w:t>衍生工具资产余额</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26,698,516 </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29,272,497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578" w:type="dxa"/>
            <w:gridSpan w:val="4"/>
            <w:tcBorders>
              <w:top w:val="single" w:color="000000" w:sz="4" w:space="0"/>
              <w:left w:val="single" w:color="000000" w:sz="4" w:space="0"/>
              <w:bottom w:val="single" w:color="000000" w:sz="4" w:space="0"/>
              <w:right w:val="single" w:color="000000" w:sz="4" w:space="0"/>
            </w:tcBorders>
            <w:shd w:val="clear" w:color="auto" w:fill="D9D9D9"/>
            <w:vAlign w:val="bottom"/>
          </w:tcPr>
          <w:p>
            <w:pPr>
              <w:keepNext w:val="0"/>
              <w:keepLines w:val="0"/>
              <w:widowControl/>
              <w:suppressLineNumbers w:val="0"/>
              <w:jc w:val="left"/>
              <w:textAlignment w:val="bottom"/>
              <w:rPr>
                <w:rFonts w:hint="default" w:ascii="华文细黑" w:hAnsi="华文细黑" w:eastAsia="华文细黑" w:cs="华文细黑"/>
                <w:b/>
                <w:i w:val="0"/>
                <w:color w:val="000000"/>
                <w:sz w:val="18"/>
                <w:szCs w:val="18"/>
                <w:u w:val="none"/>
              </w:rPr>
            </w:pPr>
            <w:r>
              <w:rPr>
                <w:rFonts w:hint="eastAsia" w:ascii="华文细黑" w:hAnsi="华文细黑" w:eastAsia="华文细黑" w:cs="华文细黑"/>
                <w:b/>
                <w:bCs/>
                <w:i w:val="0"/>
                <w:iCs w:val="0"/>
                <w:color w:val="000000"/>
                <w:kern w:val="0"/>
                <w:sz w:val="18"/>
                <w:szCs w:val="18"/>
                <w:u w:val="none"/>
                <w:lang w:val="en-US" w:eastAsia="zh-CN" w:bidi="ar"/>
              </w:rPr>
              <w:t>证券融资交易资产余额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13</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证券融资交易的会计资产余额</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4,789,546 </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10,856,617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14</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减：可以扣除的证券融资交易资产余额</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15</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证券融资交易的交易对手信用风险暴露</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16</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代理证券融资交易形成的证券融资交易资产余额</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17</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i w:val="0"/>
                <w:color w:val="000000"/>
                <w:sz w:val="18"/>
                <w:szCs w:val="18"/>
                <w:u w:val="none"/>
              </w:rPr>
            </w:pPr>
            <w:r>
              <w:rPr>
                <w:rFonts w:hint="eastAsia" w:ascii="华文细黑" w:hAnsi="华文细黑" w:eastAsia="华文细黑" w:cs="华文细黑"/>
                <w:b/>
                <w:bCs/>
                <w:i w:val="0"/>
                <w:iCs w:val="0"/>
                <w:color w:val="000000"/>
                <w:kern w:val="0"/>
                <w:sz w:val="18"/>
                <w:szCs w:val="18"/>
                <w:u w:val="none"/>
                <w:lang w:val="en-US" w:eastAsia="zh-CN" w:bidi="ar"/>
              </w:rPr>
              <w:t>证券融资交易资产余额</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4,789,546 </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10,856,617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578" w:type="dxa"/>
            <w:gridSpan w:val="4"/>
            <w:tcBorders>
              <w:top w:val="single" w:color="000000" w:sz="4" w:space="0"/>
              <w:left w:val="single" w:color="000000" w:sz="4" w:space="0"/>
              <w:bottom w:val="single" w:color="000000" w:sz="4" w:space="0"/>
              <w:right w:val="single" w:color="000000" w:sz="4" w:space="0"/>
            </w:tcBorders>
            <w:shd w:val="clear" w:color="auto" w:fill="D9D9D9"/>
            <w:vAlign w:val="bottom"/>
          </w:tcPr>
          <w:p>
            <w:pPr>
              <w:keepNext w:val="0"/>
              <w:keepLines w:val="0"/>
              <w:widowControl/>
              <w:suppressLineNumbers w:val="0"/>
              <w:jc w:val="left"/>
              <w:textAlignment w:val="bottom"/>
              <w:rPr>
                <w:rFonts w:hint="default" w:ascii="华文细黑" w:hAnsi="华文细黑" w:eastAsia="华文细黑" w:cs="华文细黑"/>
                <w:b/>
                <w:i w:val="0"/>
                <w:color w:val="000000"/>
                <w:sz w:val="18"/>
                <w:szCs w:val="18"/>
                <w:u w:val="none"/>
              </w:rPr>
            </w:pPr>
            <w:r>
              <w:rPr>
                <w:rFonts w:hint="eastAsia" w:ascii="华文细黑" w:hAnsi="华文细黑" w:eastAsia="华文细黑" w:cs="华文细黑"/>
                <w:b/>
                <w:bCs/>
                <w:i w:val="0"/>
                <w:iCs w:val="0"/>
                <w:color w:val="000000"/>
                <w:kern w:val="0"/>
                <w:sz w:val="18"/>
                <w:szCs w:val="18"/>
                <w:u w:val="none"/>
                <w:lang w:val="en-US" w:eastAsia="zh-CN" w:bidi="ar"/>
              </w:rPr>
              <w:t>表外项目余额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18</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表外项目余额</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35,802,787 </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47,814,137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19</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减：因信用转换调整的表外项目余额</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-15,307,604 </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-16,995,537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20</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减：减值准备</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-334,831 </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-326,179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21</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b/>
                <w:i w:val="0"/>
                <w:color w:val="000000"/>
                <w:sz w:val="18"/>
                <w:szCs w:val="18"/>
                <w:u w:val="none"/>
              </w:rPr>
            </w:pPr>
            <w:r>
              <w:rPr>
                <w:rFonts w:hint="eastAsia" w:ascii="华文细黑" w:hAnsi="华文细黑" w:eastAsia="华文细黑" w:cs="华文细黑"/>
                <w:b/>
                <w:bCs/>
                <w:i w:val="0"/>
                <w:iCs w:val="0"/>
                <w:color w:val="000000"/>
                <w:kern w:val="0"/>
                <w:sz w:val="18"/>
                <w:szCs w:val="18"/>
                <w:u w:val="none"/>
                <w:lang w:val="en-US" w:eastAsia="zh-CN" w:bidi="ar"/>
              </w:rPr>
              <w:t>调整后的表外项目余额</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20,160,351 </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30,492,421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578" w:type="dxa"/>
            <w:gridSpan w:val="4"/>
            <w:tcBorders>
              <w:top w:val="single" w:color="000000" w:sz="4" w:space="0"/>
              <w:left w:val="single" w:color="000000" w:sz="4" w:space="0"/>
              <w:bottom w:val="single" w:color="000000" w:sz="4" w:space="0"/>
              <w:right w:val="single" w:color="000000" w:sz="4" w:space="0"/>
            </w:tcBorders>
            <w:shd w:val="clear" w:color="auto" w:fill="D9D9D9"/>
            <w:vAlign w:val="bottom"/>
          </w:tcPr>
          <w:p>
            <w:pPr>
              <w:keepNext w:val="0"/>
              <w:keepLines w:val="0"/>
              <w:widowControl/>
              <w:suppressLineNumbers w:val="0"/>
              <w:jc w:val="left"/>
              <w:textAlignment w:val="bottom"/>
              <w:rPr>
                <w:rFonts w:hint="default" w:ascii="华文细黑" w:hAnsi="华文细黑" w:eastAsia="华文细黑" w:cs="华文细黑"/>
                <w:b/>
                <w:i w:val="0"/>
                <w:color w:val="000000"/>
                <w:sz w:val="18"/>
                <w:szCs w:val="18"/>
                <w:u w:val="none"/>
              </w:rPr>
            </w:pPr>
            <w:r>
              <w:rPr>
                <w:rFonts w:hint="eastAsia" w:ascii="华文细黑" w:hAnsi="华文细黑" w:eastAsia="华文细黑" w:cs="华文细黑"/>
                <w:b/>
                <w:bCs/>
                <w:i w:val="0"/>
                <w:iCs w:val="0"/>
                <w:color w:val="000000"/>
                <w:kern w:val="0"/>
                <w:sz w:val="18"/>
                <w:szCs w:val="18"/>
                <w:u w:val="none"/>
                <w:lang w:val="en-US" w:eastAsia="zh-CN" w:bidi="ar"/>
              </w:rPr>
              <w:t>一级资本净额和调整后表内外资产余额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22</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一级资本净额</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39,968,675 </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39,227,698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23</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调整后表内外资产余额</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549,836,198 </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569,145,896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78" w:type="dxa"/>
            <w:gridSpan w:val="4"/>
            <w:tcBorders>
              <w:top w:val="single" w:color="000000" w:sz="4" w:space="0"/>
              <w:left w:val="single" w:color="000000" w:sz="4" w:space="0"/>
              <w:bottom w:val="single" w:color="000000" w:sz="4" w:space="0"/>
              <w:right w:val="single" w:color="000000" w:sz="4" w:space="0"/>
            </w:tcBorders>
            <w:shd w:val="clear" w:color="auto" w:fill="D9D9D9"/>
            <w:vAlign w:val="bottom"/>
          </w:tcPr>
          <w:p>
            <w:pPr>
              <w:keepNext w:val="0"/>
              <w:keepLines w:val="0"/>
              <w:widowControl/>
              <w:suppressLineNumbers w:val="0"/>
              <w:jc w:val="left"/>
              <w:textAlignment w:val="bottom"/>
              <w:rPr>
                <w:rFonts w:hint="default" w:ascii="华文细黑" w:hAnsi="华文细黑" w:eastAsia="华文细黑" w:cs="华文细黑"/>
                <w:b/>
                <w:i w:val="0"/>
                <w:color w:val="000000"/>
                <w:sz w:val="18"/>
                <w:szCs w:val="18"/>
                <w:u w:val="none"/>
              </w:rPr>
            </w:pPr>
            <w:r>
              <w:rPr>
                <w:rFonts w:hint="eastAsia" w:ascii="华文细黑" w:hAnsi="华文细黑" w:eastAsia="华文细黑" w:cs="华文细黑"/>
                <w:b/>
                <w:bCs/>
                <w:i w:val="0"/>
                <w:iCs w:val="0"/>
                <w:color w:val="000000"/>
                <w:kern w:val="0"/>
                <w:sz w:val="18"/>
                <w:szCs w:val="18"/>
                <w:u w:val="none"/>
                <w:lang w:val="en-US" w:eastAsia="zh-CN" w:bidi="ar"/>
              </w:rPr>
              <w:t>杠杆率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24</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杠杆率（%）</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7.27 </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6.89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24a</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杠杆率a（%）</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7.27 </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6.89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25</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最低杠杆率要求（%）</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4.00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color w:val="000000"/>
                <w:sz w:val="18"/>
                <w:szCs w:val="18"/>
                <w:u w:val="none"/>
              </w:rPr>
            </w:pPr>
            <w:r>
              <w:rPr>
                <w:rFonts w:hint="eastAsia" w:ascii="华文细黑" w:hAnsi="华文细黑" w:eastAsia="华文细黑" w:cs="华文细黑"/>
                <w:i w:val="0"/>
                <w:iCs w:val="0"/>
                <w:color w:val="000000"/>
                <w:kern w:val="0"/>
                <w:sz w:val="18"/>
                <w:szCs w:val="18"/>
                <w:u w:val="none"/>
                <w:lang w:val="en-US" w:eastAsia="zh-CN" w:bidi="ar"/>
              </w:rPr>
              <w:t xml:space="preserve">4.00 </w:t>
            </w:r>
          </w:p>
        </w:tc>
      </w:tr>
    </w:tbl>
    <w:p>
      <w:pPr>
        <w:pStyle w:val="2"/>
        <w:ind w:firstLine="0" w:firstLineChars="0"/>
        <w:rPr>
          <w:rFonts w:hint="eastAsia" w:ascii="仿宋_GB2312" w:hAnsi="仿宋_GB2312" w:eastAsia="仿宋_GB2312"/>
          <w:sz w:val="32"/>
          <w:szCs w:val="32"/>
          <w:lang w:eastAsia="zh-CN"/>
        </w:rPr>
      </w:pPr>
    </w:p>
    <w:p>
      <w:pPr>
        <w:pStyle w:val="2"/>
        <w:numPr>
          <w:ilvl w:val="-1"/>
          <w:numId w:val="0"/>
        </w:numPr>
        <w:ind w:left="0" w:leftChars="0" w:firstLine="640" w:firstLineChars="0"/>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4"/>
                              <w:lang w:eastAsia="zh-CN"/>
                            </w:rPr>
                            <w:fldChar w:fldCharType="begin"/>
                          </w:r>
                          <w:r>
                            <w:rPr>
                              <w:rFonts w:hint="eastAsia" w:ascii="宋体" w:hAnsi="宋体" w:eastAsia="宋体" w:cs="宋体"/>
                              <w:sz w:val="24"/>
                              <w:lang w:eastAsia="zh-CN"/>
                            </w:rPr>
                            <w:instrText xml:space="preserve"> PAGE  \* MERGEFORMAT </w:instrText>
                          </w:r>
                          <w:r>
                            <w:rPr>
                              <w:rFonts w:hint="eastAsia" w:ascii="宋体" w:hAnsi="宋体" w:eastAsia="宋体" w:cs="宋体"/>
                              <w:sz w:val="24"/>
                              <w:lang w:eastAsia="zh-CN"/>
                            </w:rPr>
                            <w:fldChar w:fldCharType="separate"/>
                          </w:r>
                          <w:r>
                            <w:rPr>
                              <w:rFonts w:hint="eastAsia" w:ascii="宋体" w:hAnsi="宋体" w:eastAsia="宋体" w:cs="宋体"/>
                              <w:sz w:val="24"/>
                              <w:lang w:eastAsia="zh-CN"/>
                            </w:rPr>
                            <w:t>1</w:t>
                          </w:r>
                          <w:r>
                            <w:rPr>
                              <w:rFonts w:hint="eastAsia" w:ascii="宋体" w:hAnsi="宋体" w:eastAsia="宋体" w:cs="宋体"/>
                              <w:sz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4"/>
                        <w:lang w:eastAsia="zh-CN"/>
                      </w:rPr>
                      <w:fldChar w:fldCharType="begin"/>
                    </w:r>
                    <w:r>
                      <w:rPr>
                        <w:rFonts w:hint="eastAsia" w:ascii="宋体" w:hAnsi="宋体" w:eastAsia="宋体" w:cs="宋体"/>
                        <w:sz w:val="24"/>
                        <w:lang w:eastAsia="zh-CN"/>
                      </w:rPr>
                      <w:instrText xml:space="preserve"> PAGE  \* MERGEFORMAT </w:instrText>
                    </w:r>
                    <w:r>
                      <w:rPr>
                        <w:rFonts w:hint="eastAsia" w:ascii="宋体" w:hAnsi="宋体" w:eastAsia="宋体" w:cs="宋体"/>
                        <w:sz w:val="24"/>
                        <w:lang w:eastAsia="zh-CN"/>
                      </w:rPr>
                      <w:fldChar w:fldCharType="separate"/>
                    </w:r>
                    <w:r>
                      <w:rPr>
                        <w:rFonts w:hint="eastAsia" w:ascii="宋体" w:hAnsi="宋体" w:eastAsia="宋体" w:cs="宋体"/>
                        <w:sz w:val="24"/>
                        <w:lang w:eastAsia="zh-CN"/>
                      </w:rPr>
                      <w:t>1</w:t>
                    </w:r>
                    <w:r>
                      <w:rPr>
                        <w:rFonts w:hint="eastAsia" w:ascii="宋体" w:hAnsi="宋体" w:eastAsia="宋体" w:cs="宋体"/>
                        <w:sz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062BA"/>
    <w:rsid w:val="00F24606"/>
    <w:rsid w:val="016C4A53"/>
    <w:rsid w:val="01ED0F82"/>
    <w:rsid w:val="026754E7"/>
    <w:rsid w:val="02B44D5B"/>
    <w:rsid w:val="03ED5D4A"/>
    <w:rsid w:val="053910E8"/>
    <w:rsid w:val="058A585C"/>
    <w:rsid w:val="05EF2542"/>
    <w:rsid w:val="05F44D61"/>
    <w:rsid w:val="0711051E"/>
    <w:rsid w:val="071528C6"/>
    <w:rsid w:val="07E16B19"/>
    <w:rsid w:val="080F2845"/>
    <w:rsid w:val="086E188C"/>
    <w:rsid w:val="0AAA770C"/>
    <w:rsid w:val="0AE96EA3"/>
    <w:rsid w:val="0BD66005"/>
    <w:rsid w:val="0C1B1D98"/>
    <w:rsid w:val="0C232E09"/>
    <w:rsid w:val="0D3270C4"/>
    <w:rsid w:val="12D84152"/>
    <w:rsid w:val="12E10411"/>
    <w:rsid w:val="12E87171"/>
    <w:rsid w:val="14CF06EB"/>
    <w:rsid w:val="15BF328E"/>
    <w:rsid w:val="16205875"/>
    <w:rsid w:val="16426B6B"/>
    <w:rsid w:val="173A79C1"/>
    <w:rsid w:val="17B67874"/>
    <w:rsid w:val="18177A39"/>
    <w:rsid w:val="18CD0E97"/>
    <w:rsid w:val="19194716"/>
    <w:rsid w:val="19BD2480"/>
    <w:rsid w:val="1A2C7223"/>
    <w:rsid w:val="1A671C0E"/>
    <w:rsid w:val="1BBC0A2B"/>
    <w:rsid w:val="1BDF238A"/>
    <w:rsid w:val="1C485306"/>
    <w:rsid w:val="1CE0395A"/>
    <w:rsid w:val="1D5D38F5"/>
    <w:rsid w:val="1DD27A9D"/>
    <w:rsid w:val="1DD55F02"/>
    <w:rsid w:val="1FA95A20"/>
    <w:rsid w:val="2003755A"/>
    <w:rsid w:val="205154E2"/>
    <w:rsid w:val="22936A35"/>
    <w:rsid w:val="239D567C"/>
    <w:rsid w:val="27587CCE"/>
    <w:rsid w:val="2A3F5892"/>
    <w:rsid w:val="2B234148"/>
    <w:rsid w:val="2DB5450D"/>
    <w:rsid w:val="2EB8027C"/>
    <w:rsid w:val="2F843C06"/>
    <w:rsid w:val="31AF0A9C"/>
    <w:rsid w:val="322B63AC"/>
    <w:rsid w:val="33AF3C8A"/>
    <w:rsid w:val="33D52E5F"/>
    <w:rsid w:val="34B2309A"/>
    <w:rsid w:val="359046E7"/>
    <w:rsid w:val="35BC1A4E"/>
    <w:rsid w:val="36676D1E"/>
    <w:rsid w:val="36E55A33"/>
    <w:rsid w:val="38C14911"/>
    <w:rsid w:val="39411FC5"/>
    <w:rsid w:val="399216B9"/>
    <w:rsid w:val="3C147E59"/>
    <w:rsid w:val="3C5D1E98"/>
    <w:rsid w:val="3E600BFE"/>
    <w:rsid w:val="3EBC4775"/>
    <w:rsid w:val="3F0C005E"/>
    <w:rsid w:val="406D0A61"/>
    <w:rsid w:val="42130178"/>
    <w:rsid w:val="4259180B"/>
    <w:rsid w:val="436308A8"/>
    <w:rsid w:val="439C01C0"/>
    <w:rsid w:val="43CE4B96"/>
    <w:rsid w:val="43DF0EA4"/>
    <w:rsid w:val="441E1DA9"/>
    <w:rsid w:val="46542381"/>
    <w:rsid w:val="4699601F"/>
    <w:rsid w:val="470367A6"/>
    <w:rsid w:val="485C3F80"/>
    <w:rsid w:val="487C587B"/>
    <w:rsid w:val="488471EB"/>
    <w:rsid w:val="48F12E59"/>
    <w:rsid w:val="4B8179A1"/>
    <w:rsid w:val="4BEB59AC"/>
    <w:rsid w:val="4BF607CB"/>
    <w:rsid w:val="4CEA1F77"/>
    <w:rsid w:val="4DCE208E"/>
    <w:rsid w:val="4DD967AF"/>
    <w:rsid w:val="4E603D23"/>
    <w:rsid w:val="4E846C6A"/>
    <w:rsid w:val="500A5B5B"/>
    <w:rsid w:val="502309D4"/>
    <w:rsid w:val="51FA4C31"/>
    <w:rsid w:val="53CE7088"/>
    <w:rsid w:val="54DA6B45"/>
    <w:rsid w:val="54E84B7F"/>
    <w:rsid w:val="54EE60FB"/>
    <w:rsid w:val="55164F4F"/>
    <w:rsid w:val="551C7FA4"/>
    <w:rsid w:val="565718EB"/>
    <w:rsid w:val="56981DB2"/>
    <w:rsid w:val="57AE6829"/>
    <w:rsid w:val="57F93FAA"/>
    <w:rsid w:val="58E32895"/>
    <w:rsid w:val="58EB165F"/>
    <w:rsid w:val="597A3322"/>
    <w:rsid w:val="59F739A7"/>
    <w:rsid w:val="5A574984"/>
    <w:rsid w:val="5A8911D8"/>
    <w:rsid w:val="5B2F7DDB"/>
    <w:rsid w:val="5BBC32C1"/>
    <w:rsid w:val="5D3F1C47"/>
    <w:rsid w:val="5EAF3C67"/>
    <w:rsid w:val="5FD15D41"/>
    <w:rsid w:val="600202BF"/>
    <w:rsid w:val="60090ED6"/>
    <w:rsid w:val="603C606C"/>
    <w:rsid w:val="60A75B62"/>
    <w:rsid w:val="61A214AE"/>
    <w:rsid w:val="636640D7"/>
    <w:rsid w:val="63E14F52"/>
    <w:rsid w:val="650D3C56"/>
    <w:rsid w:val="66E64526"/>
    <w:rsid w:val="66F5753F"/>
    <w:rsid w:val="67107BA4"/>
    <w:rsid w:val="696A319E"/>
    <w:rsid w:val="6A1F6711"/>
    <w:rsid w:val="6A477D54"/>
    <w:rsid w:val="6B0E3EE0"/>
    <w:rsid w:val="6B3E3983"/>
    <w:rsid w:val="6B5C2B66"/>
    <w:rsid w:val="6CE32422"/>
    <w:rsid w:val="6D0D6700"/>
    <w:rsid w:val="6D317D8E"/>
    <w:rsid w:val="6E410F56"/>
    <w:rsid w:val="6E6D0EC6"/>
    <w:rsid w:val="6EB14D27"/>
    <w:rsid w:val="6ED10310"/>
    <w:rsid w:val="6F267DB4"/>
    <w:rsid w:val="6FBE1D83"/>
    <w:rsid w:val="715447E2"/>
    <w:rsid w:val="723A6DC5"/>
    <w:rsid w:val="72C401F1"/>
    <w:rsid w:val="73276867"/>
    <w:rsid w:val="73384058"/>
    <w:rsid w:val="751562E5"/>
    <w:rsid w:val="75913620"/>
    <w:rsid w:val="7611138F"/>
    <w:rsid w:val="76585514"/>
    <w:rsid w:val="78395658"/>
    <w:rsid w:val="7A777A29"/>
    <w:rsid w:val="7A882F19"/>
    <w:rsid w:val="7B946EB8"/>
    <w:rsid w:val="7BBA02FD"/>
    <w:rsid w:val="7BEA24DC"/>
    <w:rsid w:val="7E790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line="560" w:lineRule="exact"/>
      <w:ind w:firstLine="420" w:firstLineChars="200"/>
      <w:jc w:val="both"/>
    </w:pPr>
    <w:rPr>
      <w:rFonts w:ascii="Times New Roman" w:hAnsi="Times New Roman" w:eastAsia="宋体" w:cs="仿宋_GB2312"/>
      <w:kern w:val="2"/>
      <w:sz w:val="28"/>
      <w:szCs w:val="28"/>
      <w:lang w:val="en-US" w:eastAsia="zh-CN" w:bidi="ar-SA"/>
    </w:rPr>
  </w:style>
  <w:style w:type="paragraph" w:styleId="3">
    <w:name w:val="annotation text"/>
    <w:basedOn w:val="1"/>
    <w:qFormat/>
    <w:uiPriority w:val="0"/>
    <w:pPr>
      <w:jc w:val="left"/>
    </w:pPr>
  </w:style>
  <w:style w:type="paragraph" w:styleId="4">
    <w:name w:val="Body Text"/>
    <w:basedOn w:val="1"/>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customStyle="1" w:styleId="10">
    <w:name w:val="font11"/>
    <w:basedOn w:val="9"/>
    <w:qFormat/>
    <w:uiPriority w:val="0"/>
    <w:rPr>
      <w:rFonts w:hint="eastAsia" w:ascii="宋体" w:hAnsi="宋体" w:eastAsia="宋体" w:cs="宋体"/>
      <w:color w:val="000000"/>
      <w:sz w:val="18"/>
      <w:szCs w:val="18"/>
      <w:u w:val="none"/>
    </w:rPr>
  </w:style>
  <w:style w:type="character" w:customStyle="1" w:styleId="11">
    <w:name w:val="font0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QRCB-W</cp:lastModifiedBy>
  <cp:lastPrinted>2025-02-07T06:34:00Z</cp:lastPrinted>
  <dcterms:modified xsi:type="dcterms:W3CDTF">2025-08-27T00:55:51Z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1C4E799DE3D94A73A25CF043F953EF32</vt:lpwstr>
  </property>
</Properties>
</file>